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4" w14:textId="42160C15" w:rsidR="00992E96" w:rsidRDefault="00216626" w:rsidP="00992E96">
      <w:pPr>
        <w:pStyle w:val="MainText"/>
        <w:spacing w:line="240" w:lineRule="auto"/>
        <w:rPr>
          <w:rFonts w:ascii="Arial" w:hAnsi="Arial" w:cs="Arial"/>
          <w:b/>
          <w:sz w:val="28"/>
          <w:szCs w:val="28"/>
        </w:rPr>
      </w:pPr>
      <w:r w:rsidRPr="00216626">
        <w:rPr>
          <w:rFonts w:ascii="Arial" w:hAnsi="Arial" w:cs="Arial"/>
          <w:b/>
          <w:sz w:val="28"/>
          <w:szCs w:val="28"/>
        </w:rPr>
        <w:t>The Future of Local Commissioning project with NHS Confed and NHSCC</w:t>
      </w:r>
    </w:p>
    <w:p w14:paraId="0E93404A" w14:textId="77777777" w:rsidR="00216626" w:rsidRDefault="00216626"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55F50242" w14:textId="77777777" w:rsidR="008F3C9D" w:rsidRPr="00421D38" w:rsidRDefault="008F3C9D" w:rsidP="008F3C9D">
      <w:pPr>
        <w:pStyle w:val="MainText"/>
        <w:rPr>
          <w:rFonts w:ascii="Arial" w:hAnsi="Arial" w:cs="Arial"/>
          <w:szCs w:val="22"/>
        </w:rPr>
      </w:pPr>
      <w:r w:rsidRPr="00421D38">
        <w:rPr>
          <w:rFonts w:ascii="Arial" w:hAnsi="Arial" w:cs="Arial"/>
          <w:szCs w:val="22"/>
        </w:rPr>
        <w:t>For discussion and direction.</w:t>
      </w:r>
    </w:p>
    <w:p w14:paraId="3E832269" w14:textId="77777777" w:rsidR="00992E96" w:rsidRPr="0021114E" w:rsidRDefault="00992E96" w:rsidP="00992E96">
      <w:pPr>
        <w:pStyle w:val="MainText"/>
        <w:spacing w:line="240" w:lineRule="auto"/>
        <w:rPr>
          <w:rFonts w:ascii="Arial" w:hAnsi="Arial" w:cs="Arial"/>
          <w:b/>
          <w:szCs w:val="22"/>
        </w:rPr>
      </w:pPr>
    </w:p>
    <w:p w14:paraId="2A043A09" w14:textId="77777777" w:rsidR="008F3C9D" w:rsidRDefault="008F3C9D" w:rsidP="00992E96">
      <w:pPr>
        <w:pStyle w:val="MainText"/>
        <w:spacing w:line="240" w:lineRule="auto"/>
        <w:rPr>
          <w:rFonts w:ascii="Arial" w:hAnsi="Arial" w:cs="Arial"/>
          <w:b/>
          <w:szCs w:val="22"/>
        </w:rPr>
      </w:pPr>
    </w:p>
    <w:p w14:paraId="3E83226A" w14:textId="77777777" w:rsidR="00992E96" w:rsidRDefault="00992E96" w:rsidP="00992E96">
      <w:pPr>
        <w:pStyle w:val="MainText"/>
        <w:spacing w:line="240" w:lineRule="auto"/>
        <w:rPr>
          <w:rFonts w:ascii="Arial" w:hAnsi="Arial" w:cs="Arial"/>
          <w:b/>
          <w:szCs w:val="22"/>
        </w:rPr>
      </w:pPr>
      <w:r w:rsidRPr="0021114E">
        <w:rPr>
          <w:rFonts w:ascii="Arial" w:hAnsi="Arial" w:cs="Arial"/>
          <w:b/>
          <w:szCs w:val="22"/>
        </w:rPr>
        <w:t>Summary</w:t>
      </w:r>
    </w:p>
    <w:p w14:paraId="10B8765D" w14:textId="77777777" w:rsidR="0040181A" w:rsidRPr="0021114E" w:rsidRDefault="0040181A" w:rsidP="00992E96">
      <w:pPr>
        <w:pStyle w:val="MainText"/>
        <w:spacing w:line="240" w:lineRule="auto"/>
        <w:rPr>
          <w:rFonts w:ascii="Arial" w:hAnsi="Arial" w:cs="Arial"/>
          <w:szCs w:val="22"/>
        </w:rPr>
      </w:pPr>
    </w:p>
    <w:p w14:paraId="3E83226B" w14:textId="6A64A1B3" w:rsidR="00992E96" w:rsidRDefault="00D70F93" w:rsidP="00992E96">
      <w:pPr>
        <w:pStyle w:val="MainText"/>
        <w:spacing w:line="240" w:lineRule="auto"/>
        <w:rPr>
          <w:rFonts w:ascii="Arial" w:hAnsi="Arial" w:cs="Arial"/>
          <w:szCs w:val="22"/>
        </w:rPr>
      </w:pPr>
      <w:r>
        <w:rPr>
          <w:rFonts w:ascii="Arial" w:hAnsi="Arial" w:cs="Arial"/>
          <w:szCs w:val="22"/>
        </w:rPr>
        <w:t>This report outlines proposals for a joint initiative with NHS Confederation</w:t>
      </w:r>
      <w:r w:rsidR="008460B1">
        <w:rPr>
          <w:rFonts w:ascii="Arial" w:hAnsi="Arial" w:cs="Arial"/>
          <w:szCs w:val="22"/>
        </w:rPr>
        <w:t>, NHS Clinical Commissioners</w:t>
      </w:r>
      <w:r w:rsidR="002664A9">
        <w:rPr>
          <w:rFonts w:ascii="Arial" w:hAnsi="Arial" w:cs="Arial"/>
          <w:szCs w:val="22"/>
        </w:rPr>
        <w:t xml:space="preserve"> (NHSCC)</w:t>
      </w:r>
      <w:r>
        <w:rPr>
          <w:rFonts w:ascii="Arial" w:hAnsi="Arial" w:cs="Arial"/>
          <w:szCs w:val="22"/>
        </w:rPr>
        <w:t xml:space="preserve"> and other key partners to influence the policy agenda on the future of local commissioning.</w:t>
      </w:r>
    </w:p>
    <w:p w14:paraId="3E83226D" w14:textId="77777777" w:rsidR="00992E96" w:rsidRPr="0021114E" w:rsidRDefault="00992E96" w:rsidP="00992E96">
      <w:pPr>
        <w:pStyle w:val="MainText"/>
        <w:spacing w:line="240" w:lineRule="auto"/>
        <w:rPr>
          <w:rFonts w:ascii="Arial" w:hAnsi="Arial" w:cs="Arial"/>
          <w:szCs w:val="22"/>
        </w:rPr>
      </w:pP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8F3C9D">
        <w:tc>
          <w:tcPr>
            <w:tcW w:w="9157" w:type="dxa"/>
          </w:tcPr>
          <w:p w14:paraId="3E83226F" w14:textId="77777777" w:rsidR="00992E96" w:rsidRPr="0021114E" w:rsidRDefault="00992E96" w:rsidP="008F3C9D">
            <w:pPr>
              <w:pStyle w:val="MainText"/>
              <w:spacing w:line="240" w:lineRule="auto"/>
              <w:rPr>
                <w:rFonts w:ascii="Arial" w:hAnsi="Arial" w:cs="Arial"/>
                <w:b/>
                <w:szCs w:val="22"/>
              </w:rPr>
            </w:pPr>
          </w:p>
          <w:p w14:paraId="2FE3651D" w14:textId="41AAC986" w:rsidR="00D70F93" w:rsidRDefault="00992E96" w:rsidP="008F3C9D">
            <w:pPr>
              <w:pStyle w:val="MainText"/>
              <w:spacing w:line="240" w:lineRule="auto"/>
              <w:rPr>
                <w:rFonts w:ascii="Arial" w:hAnsi="Arial" w:cs="Arial"/>
                <w:b/>
                <w:szCs w:val="22"/>
              </w:rPr>
            </w:pPr>
            <w:r w:rsidRPr="0021114E">
              <w:rPr>
                <w:rFonts w:ascii="Arial" w:hAnsi="Arial" w:cs="Arial"/>
                <w:b/>
                <w:szCs w:val="22"/>
              </w:rPr>
              <w:t>Recommendation</w:t>
            </w:r>
            <w:r w:rsidR="00110533">
              <w:rPr>
                <w:rFonts w:ascii="Arial" w:hAnsi="Arial" w:cs="Arial"/>
                <w:b/>
                <w:szCs w:val="22"/>
              </w:rPr>
              <w:t xml:space="preserve"> </w:t>
            </w:r>
          </w:p>
          <w:p w14:paraId="7454C864" w14:textId="77777777" w:rsidR="00977D52" w:rsidRDefault="00977D52" w:rsidP="008F3C9D">
            <w:pPr>
              <w:pStyle w:val="MainText"/>
              <w:spacing w:line="240" w:lineRule="auto"/>
              <w:rPr>
                <w:rFonts w:ascii="Arial" w:hAnsi="Arial" w:cs="Arial"/>
                <w:b/>
                <w:szCs w:val="22"/>
              </w:rPr>
            </w:pPr>
          </w:p>
          <w:p w14:paraId="5001F82A" w14:textId="258491CF" w:rsidR="00D70F93" w:rsidRPr="00D70F93" w:rsidRDefault="00D70F93" w:rsidP="008F3C9D">
            <w:pPr>
              <w:pStyle w:val="MainText"/>
              <w:spacing w:line="240" w:lineRule="auto"/>
              <w:rPr>
                <w:rFonts w:ascii="Arial" w:hAnsi="Arial" w:cs="Arial"/>
                <w:szCs w:val="22"/>
              </w:rPr>
            </w:pPr>
            <w:r>
              <w:rPr>
                <w:rFonts w:ascii="Arial" w:hAnsi="Arial" w:cs="Arial"/>
                <w:szCs w:val="22"/>
              </w:rPr>
              <w:t>Members are requested to discu</w:t>
            </w:r>
            <w:r w:rsidR="009B5484">
              <w:rPr>
                <w:rFonts w:ascii="Arial" w:hAnsi="Arial" w:cs="Arial"/>
                <w:szCs w:val="22"/>
              </w:rPr>
              <w:t xml:space="preserve">ss and comment on the outlined proposals in </w:t>
            </w:r>
            <w:r w:rsidR="009B5484" w:rsidRPr="009B5484">
              <w:rPr>
                <w:rFonts w:ascii="Arial" w:hAnsi="Arial" w:cs="Arial"/>
                <w:b/>
                <w:szCs w:val="22"/>
              </w:rPr>
              <w:t>section 7</w:t>
            </w:r>
            <w:r w:rsidR="009B5484">
              <w:rPr>
                <w:rFonts w:ascii="Arial" w:hAnsi="Arial" w:cs="Arial"/>
                <w:szCs w:val="22"/>
              </w:rPr>
              <w:t xml:space="preserve"> of the report.</w:t>
            </w:r>
          </w:p>
          <w:p w14:paraId="3E832271" w14:textId="77777777" w:rsidR="00992E96" w:rsidRDefault="00992E96" w:rsidP="008F3C9D">
            <w:pPr>
              <w:pStyle w:val="MainText"/>
              <w:spacing w:line="240" w:lineRule="auto"/>
              <w:rPr>
                <w:rFonts w:ascii="Arial" w:hAnsi="Arial" w:cs="Arial"/>
                <w:szCs w:val="22"/>
              </w:rPr>
            </w:pPr>
          </w:p>
          <w:p w14:paraId="3E832273" w14:textId="77777777" w:rsidR="00992E96" w:rsidRPr="0021114E" w:rsidRDefault="00992E96" w:rsidP="008F3C9D">
            <w:pPr>
              <w:pStyle w:val="MainText"/>
              <w:spacing w:line="240" w:lineRule="auto"/>
              <w:rPr>
                <w:rFonts w:ascii="Arial" w:hAnsi="Arial" w:cs="Arial"/>
                <w:szCs w:val="22"/>
              </w:rPr>
            </w:pPr>
          </w:p>
          <w:p w14:paraId="3E832274" w14:textId="6ADB4CC4" w:rsidR="00992E96" w:rsidRDefault="00992E96" w:rsidP="008F3C9D">
            <w:pPr>
              <w:pStyle w:val="MainText"/>
              <w:spacing w:line="240" w:lineRule="auto"/>
              <w:rPr>
                <w:rFonts w:ascii="Arial" w:hAnsi="Arial" w:cs="Arial"/>
                <w:b/>
                <w:szCs w:val="22"/>
              </w:rPr>
            </w:pPr>
            <w:r w:rsidRPr="0021114E">
              <w:rPr>
                <w:rFonts w:ascii="Arial" w:hAnsi="Arial" w:cs="Arial"/>
                <w:b/>
                <w:szCs w:val="22"/>
              </w:rPr>
              <w:t>Action</w:t>
            </w:r>
          </w:p>
          <w:p w14:paraId="27BB36CB" w14:textId="77777777" w:rsidR="00977D52" w:rsidRDefault="00977D52" w:rsidP="008F3C9D">
            <w:pPr>
              <w:pStyle w:val="MainText"/>
              <w:spacing w:line="240" w:lineRule="auto"/>
              <w:rPr>
                <w:rFonts w:ascii="Arial" w:hAnsi="Arial" w:cs="Arial"/>
                <w:b/>
                <w:szCs w:val="22"/>
              </w:rPr>
            </w:pPr>
          </w:p>
          <w:p w14:paraId="166E9686" w14:textId="2B9151D9" w:rsidR="00D70F93" w:rsidRPr="00D70F93" w:rsidRDefault="00D70F93" w:rsidP="008F3C9D">
            <w:pPr>
              <w:pStyle w:val="MainText"/>
              <w:spacing w:line="240" w:lineRule="auto"/>
              <w:rPr>
                <w:rFonts w:ascii="Arial" w:hAnsi="Arial" w:cs="Arial"/>
                <w:szCs w:val="22"/>
              </w:rPr>
            </w:pPr>
            <w:r>
              <w:rPr>
                <w:rFonts w:ascii="Arial" w:hAnsi="Arial" w:cs="Arial"/>
                <w:szCs w:val="22"/>
              </w:rPr>
              <w:t>Officers to take action as directed by members.</w:t>
            </w:r>
          </w:p>
          <w:p w14:paraId="3E832275" w14:textId="77777777" w:rsidR="00992E96" w:rsidRDefault="00992E96" w:rsidP="008F3C9D">
            <w:pPr>
              <w:pStyle w:val="MainText"/>
              <w:spacing w:line="240" w:lineRule="auto"/>
              <w:rPr>
                <w:rFonts w:ascii="Arial" w:hAnsi="Arial" w:cs="Arial"/>
                <w:b/>
                <w:szCs w:val="22"/>
              </w:rPr>
            </w:pPr>
          </w:p>
          <w:p w14:paraId="3E832277" w14:textId="77777777" w:rsidR="008F3C9D" w:rsidRPr="0021114E" w:rsidRDefault="008F3C9D" w:rsidP="008F3C9D">
            <w:pPr>
              <w:pStyle w:val="MainText"/>
              <w:spacing w:line="240" w:lineRule="auto"/>
              <w:rPr>
                <w:rFonts w:ascii="Arial" w:hAnsi="Arial" w:cs="Arial"/>
                <w:b/>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8F3C9D">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00FDAA08" w:rsidR="00992E96" w:rsidRPr="00B27F61" w:rsidRDefault="00D70F93" w:rsidP="008F3C9D">
            <w:pPr>
              <w:pStyle w:val="MainText"/>
              <w:spacing w:before="120" w:line="240" w:lineRule="auto"/>
              <w:rPr>
                <w:rFonts w:ascii="Arial" w:hAnsi="Arial" w:cs="Arial"/>
                <w:sz w:val="22"/>
                <w:szCs w:val="22"/>
              </w:rPr>
            </w:pPr>
            <w:r>
              <w:rPr>
                <w:rFonts w:ascii="Arial" w:hAnsi="Arial" w:cs="Arial"/>
                <w:sz w:val="22"/>
                <w:szCs w:val="22"/>
              </w:rPr>
              <w:t>Alyson Morley</w:t>
            </w:r>
          </w:p>
        </w:tc>
      </w:tr>
      <w:tr w:rsidR="00992E96" w:rsidRPr="00B27F61" w14:paraId="3E832280" w14:textId="77777777" w:rsidTr="00992E96">
        <w:tc>
          <w:tcPr>
            <w:tcW w:w="2774" w:type="dxa"/>
          </w:tcPr>
          <w:p w14:paraId="3E83227E" w14:textId="77777777" w:rsidR="00992E96" w:rsidRPr="00B27F61" w:rsidRDefault="00992E96" w:rsidP="008F3C9D">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E83227F" w14:textId="644BBA03" w:rsidR="00992E96" w:rsidRPr="00B27F61" w:rsidRDefault="0097344A" w:rsidP="008F3C9D">
            <w:pPr>
              <w:pStyle w:val="MainText"/>
              <w:spacing w:before="120" w:line="240" w:lineRule="auto"/>
              <w:rPr>
                <w:rFonts w:ascii="Arial" w:hAnsi="Arial" w:cs="Arial"/>
                <w:sz w:val="22"/>
                <w:szCs w:val="22"/>
              </w:rPr>
            </w:pPr>
            <w:r>
              <w:rPr>
                <w:rFonts w:ascii="Arial" w:hAnsi="Arial" w:cs="Arial"/>
                <w:sz w:val="22"/>
                <w:szCs w:val="22"/>
              </w:rPr>
              <w:t>Senior Adviser</w:t>
            </w:r>
          </w:p>
        </w:tc>
      </w:tr>
      <w:tr w:rsidR="00992E96" w:rsidRPr="00B27F61" w14:paraId="3E832283" w14:textId="77777777" w:rsidTr="00992E96">
        <w:tc>
          <w:tcPr>
            <w:tcW w:w="2774" w:type="dxa"/>
          </w:tcPr>
          <w:p w14:paraId="3E832281" w14:textId="77777777" w:rsidR="00992E96" w:rsidRPr="00B27F61" w:rsidRDefault="00992E96" w:rsidP="008F3C9D">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3E832282" w14:textId="482BF66B" w:rsidR="00992E96" w:rsidRPr="00B27F61" w:rsidRDefault="00D70F93" w:rsidP="008F3C9D">
            <w:pPr>
              <w:pStyle w:val="MainText"/>
              <w:spacing w:before="120" w:line="240" w:lineRule="auto"/>
              <w:rPr>
                <w:rFonts w:ascii="Arial" w:hAnsi="Arial" w:cs="Arial"/>
                <w:sz w:val="22"/>
                <w:szCs w:val="22"/>
              </w:rPr>
            </w:pPr>
            <w:r>
              <w:rPr>
                <w:rFonts w:ascii="Arial" w:hAnsi="Arial" w:cs="Arial"/>
                <w:sz w:val="22"/>
                <w:szCs w:val="22"/>
              </w:rPr>
              <w:t>020 7664 3230</w:t>
            </w:r>
          </w:p>
        </w:tc>
      </w:tr>
      <w:tr w:rsidR="00992E96" w:rsidRPr="00B27F61" w14:paraId="3E832286" w14:textId="77777777" w:rsidTr="00992E96">
        <w:trPr>
          <w:trHeight w:val="507"/>
        </w:trPr>
        <w:tc>
          <w:tcPr>
            <w:tcW w:w="2774" w:type="dxa"/>
          </w:tcPr>
          <w:p w14:paraId="3E832284" w14:textId="77777777" w:rsidR="00992E96" w:rsidRPr="00B27F61" w:rsidRDefault="00992E96" w:rsidP="008F3C9D">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3E832285" w14:textId="5EAA4BDA" w:rsidR="00992E96" w:rsidRPr="00977D52" w:rsidRDefault="00AB59E8" w:rsidP="008F3C9D">
            <w:pPr>
              <w:pStyle w:val="MainText"/>
              <w:spacing w:before="120" w:line="240" w:lineRule="auto"/>
              <w:rPr>
                <w:rFonts w:ascii="Arial" w:hAnsi="Arial" w:cs="Arial"/>
                <w:sz w:val="22"/>
                <w:szCs w:val="22"/>
              </w:rPr>
            </w:pPr>
            <w:hyperlink r:id="rId11" w:history="1">
              <w:r w:rsidR="00D70F93" w:rsidRPr="00977D52">
                <w:rPr>
                  <w:rStyle w:val="Hyperlink"/>
                  <w:rFonts w:ascii="Arial" w:hAnsi="Arial" w:cs="Arial"/>
                  <w:sz w:val="22"/>
                  <w:szCs w:val="22"/>
                </w:rPr>
                <w:t>alyson.morley@local.gov.uk</w:t>
              </w:r>
            </w:hyperlink>
            <w:r w:rsidR="00D70F93" w:rsidRPr="00977D52">
              <w:rPr>
                <w:rFonts w:ascii="Arial" w:hAnsi="Arial" w:cs="Arial"/>
                <w:sz w:val="22"/>
                <w:szCs w:val="22"/>
              </w:rPr>
              <w:t xml:space="preserve">   </w:t>
            </w: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8F3C9D">
          <w:headerReference w:type="default" r:id="rId12"/>
          <w:footerReference w:type="default" r:id="rId13"/>
          <w:headerReference w:type="first" r:id="rId14"/>
          <w:pgSz w:w="11907" w:h="16840" w:code="9"/>
          <w:pgMar w:top="1418" w:right="1418" w:bottom="851" w:left="1418" w:header="1134" w:footer="567" w:gutter="0"/>
          <w:cols w:space="720"/>
        </w:sectPr>
      </w:pPr>
    </w:p>
    <w:p w14:paraId="49E5D0DE" w14:textId="77777777" w:rsidR="00216626" w:rsidRDefault="00216626" w:rsidP="00216626">
      <w:pPr>
        <w:pStyle w:val="MainText"/>
        <w:spacing w:line="240" w:lineRule="auto"/>
        <w:rPr>
          <w:rFonts w:ascii="Arial" w:hAnsi="Arial" w:cs="Arial"/>
          <w:b/>
          <w:sz w:val="28"/>
          <w:szCs w:val="28"/>
        </w:rPr>
      </w:pPr>
      <w:bookmarkStart w:id="2" w:name="MainHeading2"/>
      <w:bookmarkEnd w:id="2"/>
      <w:r w:rsidRPr="00216626">
        <w:rPr>
          <w:rFonts w:ascii="Arial" w:hAnsi="Arial" w:cs="Arial"/>
          <w:b/>
          <w:sz w:val="28"/>
          <w:szCs w:val="28"/>
        </w:rPr>
        <w:lastRenderedPageBreak/>
        <w:t>The Future of Local Commissioning project with NHS Confed and NHSCC</w:t>
      </w:r>
    </w:p>
    <w:p w14:paraId="108AB7B5" w14:textId="77777777" w:rsidR="00216626" w:rsidRDefault="00216626" w:rsidP="00216626">
      <w:pPr>
        <w:pStyle w:val="MainText"/>
        <w:spacing w:line="240" w:lineRule="auto"/>
        <w:rPr>
          <w:rFonts w:ascii="Arial" w:hAnsi="Arial" w:cs="Arial"/>
          <w:b/>
          <w:sz w:val="28"/>
          <w:szCs w:val="28"/>
        </w:rPr>
      </w:pPr>
    </w:p>
    <w:p w14:paraId="3E83228C" w14:textId="77777777" w:rsidR="00992E96" w:rsidRPr="00511ABD" w:rsidRDefault="00992E96" w:rsidP="00EF4D19">
      <w:pPr>
        <w:pStyle w:val="MainText"/>
        <w:spacing w:line="240" w:lineRule="auto"/>
        <w:ind w:firstLine="360"/>
        <w:rPr>
          <w:rFonts w:ascii="Arial" w:hAnsi="Arial" w:cs="Arial"/>
          <w:szCs w:val="22"/>
        </w:rPr>
      </w:pPr>
      <w:r w:rsidRPr="00511ABD">
        <w:rPr>
          <w:rFonts w:ascii="Arial" w:hAnsi="Arial" w:cs="Arial"/>
          <w:b/>
          <w:szCs w:val="22"/>
        </w:rPr>
        <w:t>Background</w:t>
      </w:r>
    </w:p>
    <w:p w14:paraId="3E83228D" w14:textId="77777777" w:rsidR="00992E96" w:rsidRPr="00421D38" w:rsidRDefault="00992E96" w:rsidP="00EF4D19">
      <w:pPr>
        <w:pStyle w:val="MainText"/>
        <w:spacing w:line="240" w:lineRule="auto"/>
        <w:rPr>
          <w:rFonts w:ascii="Arial" w:hAnsi="Arial" w:cs="Arial"/>
          <w:szCs w:val="22"/>
        </w:rPr>
      </w:pPr>
    </w:p>
    <w:p w14:paraId="34C260CB" w14:textId="74AFD105" w:rsidR="00216626" w:rsidRDefault="00216626" w:rsidP="00216626">
      <w:pPr>
        <w:pStyle w:val="ListParagraph"/>
        <w:numPr>
          <w:ilvl w:val="0"/>
          <w:numId w:val="14"/>
        </w:numPr>
        <w:spacing w:line="259" w:lineRule="auto"/>
        <w:ind w:left="357" w:hanging="357"/>
        <w:contextualSpacing/>
        <w:rPr>
          <w:rFonts w:ascii="Arial" w:hAnsi="Arial" w:cs="Arial"/>
        </w:rPr>
      </w:pPr>
      <w:r w:rsidRPr="00216626">
        <w:rPr>
          <w:rFonts w:ascii="Arial" w:hAnsi="Arial" w:cs="Arial"/>
        </w:rPr>
        <w:t xml:space="preserve">The NHS Confederation </w:t>
      </w:r>
      <w:r w:rsidR="008460B1">
        <w:rPr>
          <w:rFonts w:ascii="Arial" w:hAnsi="Arial" w:cs="Arial"/>
        </w:rPr>
        <w:t xml:space="preserve">(and NHSCC, who are part of the Confederation) </w:t>
      </w:r>
      <w:r w:rsidRPr="00216626">
        <w:rPr>
          <w:rFonts w:ascii="Arial" w:hAnsi="Arial" w:cs="Arial"/>
        </w:rPr>
        <w:t>and the LGA have agreed to build on their existing partnership work to:</w:t>
      </w:r>
    </w:p>
    <w:p w14:paraId="7F9FA2F0" w14:textId="77777777" w:rsidR="00216626" w:rsidRDefault="00216626" w:rsidP="00216626">
      <w:pPr>
        <w:pStyle w:val="ListParagraph"/>
        <w:spacing w:after="160" w:line="259" w:lineRule="auto"/>
        <w:ind w:left="360"/>
        <w:contextualSpacing/>
        <w:rPr>
          <w:rFonts w:ascii="Arial" w:hAnsi="Arial" w:cs="Arial"/>
        </w:rPr>
      </w:pPr>
    </w:p>
    <w:p w14:paraId="10E65FBC" w14:textId="30A5A254" w:rsidR="00216626" w:rsidRDefault="00FE6CA7" w:rsidP="00216626">
      <w:pPr>
        <w:pStyle w:val="ListParagraph"/>
        <w:numPr>
          <w:ilvl w:val="1"/>
          <w:numId w:val="14"/>
        </w:numPr>
        <w:spacing w:after="160" w:line="259" w:lineRule="auto"/>
        <w:contextualSpacing/>
        <w:rPr>
          <w:rFonts w:ascii="Arial" w:hAnsi="Arial" w:cs="Arial"/>
        </w:rPr>
      </w:pPr>
      <w:r>
        <w:rPr>
          <w:rFonts w:ascii="Arial" w:hAnsi="Arial" w:cs="Arial"/>
        </w:rPr>
        <w:t>S</w:t>
      </w:r>
      <w:r w:rsidR="00216626" w:rsidRPr="00216626">
        <w:rPr>
          <w:rFonts w:ascii="Arial" w:hAnsi="Arial" w:cs="Arial"/>
        </w:rPr>
        <w:t>peak with a unified voice on behalf of local health and care system leaders on long-term strategic issues of jo</w:t>
      </w:r>
      <w:r>
        <w:rPr>
          <w:rFonts w:ascii="Arial" w:hAnsi="Arial" w:cs="Arial"/>
        </w:rPr>
        <w:t>int interest.</w:t>
      </w:r>
    </w:p>
    <w:p w14:paraId="27602D35" w14:textId="77777777" w:rsidR="00216626" w:rsidRDefault="00216626" w:rsidP="00216626">
      <w:pPr>
        <w:pStyle w:val="ListParagraph"/>
        <w:spacing w:after="160" w:line="259" w:lineRule="auto"/>
        <w:ind w:left="792"/>
        <w:contextualSpacing/>
        <w:rPr>
          <w:rFonts w:ascii="Arial" w:hAnsi="Arial" w:cs="Arial"/>
        </w:rPr>
      </w:pPr>
    </w:p>
    <w:p w14:paraId="78261944" w14:textId="103FD205" w:rsidR="00216626" w:rsidRDefault="00FE6CA7" w:rsidP="00216626">
      <w:pPr>
        <w:pStyle w:val="ListParagraph"/>
        <w:numPr>
          <w:ilvl w:val="1"/>
          <w:numId w:val="14"/>
        </w:numPr>
        <w:spacing w:after="160" w:line="259" w:lineRule="auto"/>
        <w:contextualSpacing/>
        <w:rPr>
          <w:rFonts w:ascii="Arial" w:hAnsi="Arial" w:cs="Arial"/>
        </w:rPr>
      </w:pPr>
      <w:r>
        <w:rPr>
          <w:rFonts w:ascii="Arial" w:hAnsi="Arial" w:cs="Arial"/>
        </w:rPr>
        <w:t>C</w:t>
      </w:r>
      <w:r w:rsidR="00216626" w:rsidRPr="00216626">
        <w:rPr>
          <w:rFonts w:ascii="Arial" w:hAnsi="Arial" w:cs="Arial"/>
        </w:rPr>
        <w:t>oordinate our influencing work on the future health and social care landscape.</w:t>
      </w:r>
    </w:p>
    <w:p w14:paraId="372F2058" w14:textId="77777777" w:rsidR="00216626" w:rsidRPr="00216626" w:rsidRDefault="00216626" w:rsidP="00216626">
      <w:pPr>
        <w:pStyle w:val="ListParagraph"/>
        <w:spacing w:after="160" w:line="259" w:lineRule="auto"/>
        <w:ind w:left="792"/>
        <w:contextualSpacing/>
        <w:rPr>
          <w:rFonts w:ascii="Arial" w:hAnsi="Arial" w:cs="Arial"/>
        </w:rPr>
      </w:pPr>
    </w:p>
    <w:p w14:paraId="11536F9E" w14:textId="1F2ED5CB" w:rsidR="00216626" w:rsidRDefault="00216626" w:rsidP="00216626">
      <w:pPr>
        <w:pStyle w:val="ListParagraph"/>
        <w:numPr>
          <w:ilvl w:val="0"/>
          <w:numId w:val="14"/>
        </w:numPr>
        <w:spacing w:after="160" w:line="259" w:lineRule="auto"/>
        <w:contextualSpacing/>
        <w:rPr>
          <w:rFonts w:ascii="Arial" w:hAnsi="Arial" w:cs="Arial"/>
        </w:rPr>
      </w:pPr>
      <w:r w:rsidRPr="00216626">
        <w:rPr>
          <w:rFonts w:ascii="Arial" w:hAnsi="Arial" w:cs="Arial"/>
        </w:rPr>
        <w:t xml:space="preserve">The LGA is also keen to work in partnership with other key national stakeholders, including NHS Providers and </w:t>
      </w:r>
      <w:r w:rsidR="009B5484" w:rsidRPr="009B5484">
        <w:rPr>
          <w:rStyle w:val="Emphasis"/>
          <w:rFonts w:ascii="Arial" w:hAnsi="Arial" w:cs="Arial"/>
          <w:b w:val="0"/>
        </w:rPr>
        <w:t>Association of Directors of Adult Social Services (</w:t>
      </w:r>
      <w:r w:rsidRPr="00216626">
        <w:rPr>
          <w:rFonts w:ascii="Arial" w:hAnsi="Arial" w:cs="Arial"/>
        </w:rPr>
        <w:t>ADASS</w:t>
      </w:r>
      <w:r w:rsidR="009B5484">
        <w:rPr>
          <w:rFonts w:ascii="Arial" w:hAnsi="Arial" w:cs="Arial"/>
        </w:rPr>
        <w:t>)</w:t>
      </w:r>
      <w:r w:rsidRPr="00216626">
        <w:rPr>
          <w:rFonts w:ascii="Arial" w:hAnsi="Arial" w:cs="Arial"/>
        </w:rPr>
        <w:t xml:space="preserve"> to develop this work. This paper proposes the purpose, process, governance arrangements, and timelines for a joint Inquiry/Commission on the Future of Local Commissioning. </w:t>
      </w:r>
    </w:p>
    <w:p w14:paraId="66AC5D8B" w14:textId="77777777" w:rsidR="00081E27" w:rsidRPr="00081E27" w:rsidRDefault="00081E27" w:rsidP="00081E27">
      <w:pPr>
        <w:pStyle w:val="MainText"/>
        <w:spacing w:line="240" w:lineRule="auto"/>
        <w:ind w:firstLine="360"/>
        <w:rPr>
          <w:rFonts w:ascii="Arial" w:hAnsi="Arial" w:cs="Arial"/>
          <w:b/>
          <w:szCs w:val="22"/>
        </w:rPr>
      </w:pPr>
      <w:r w:rsidRPr="00081E27">
        <w:rPr>
          <w:rFonts w:ascii="Arial" w:hAnsi="Arial" w:cs="Arial"/>
          <w:b/>
          <w:szCs w:val="22"/>
        </w:rPr>
        <w:t>Issues</w:t>
      </w:r>
    </w:p>
    <w:p w14:paraId="10518524" w14:textId="77777777" w:rsidR="00081E27" w:rsidRDefault="00081E27" w:rsidP="00216626">
      <w:pPr>
        <w:pStyle w:val="ListParagraph"/>
        <w:spacing w:after="160" w:line="259" w:lineRule="auto"/>
        <w:ind w:left="360"/>
        <w:contextualSpacing/>
        <w:rPr>
          <w:rFonts w:ascii="Arial" w:hAnsi="Arial" w:cs="Arial"/>
        </w:rPr>
      </w:pPr>
    </w:p>
    <w:p w14:paraId="3E8B7299" w14:textId="77777777" w:rsidR="00216626" w:rsidRPr="00216626" w:rsidRDefault="00216626" w:rsidP="00216626">
      <w:pPr>
        <w:pStyle w:val="ListParagraph"/>
        <w:numPr>
          <w:ilvl w:val="0"/>
          <w:numId w:val="14"/>
        </w:numPr>
        <w:spacing w:after="160" w:line="259" w:lineRule="auto"/>
        <w:contextualSpacing/>
        <w:rPr>
          <w:rFonts w:ascii="Arial" w:hAnsi="Arial" w:cs="Arial"/>
          <w:u w:val="single"/>
          <w:lang w:val="en-US"/>
        </w:rPr>
      </w:pPr>
      <w:r w:rsidRPr="00216626">
        <w:rPr>
          <w:rFonts w:ascii="Arial" w:hAnsi="Arial" w:cs="Arial"/>
          <w:u w:val="single"/>
        </w:rPr>
        <w:t>Why focus on the future of local health and social care commissioning?</w:t>
      </w:r>
    </w:p>
    <w:p w14:paraId="62279B18" w14:textId="77777777" w:rsidR="00216626" w:rsidRPr="00216626" w:rsidRDefault="00216626" w:rsidP="00216626">
      <w:pPr>
        <w:pStyle w:val="ListParagraph"/>
        <w:rPr>
          <w:rFonts w:ascii="Arial" w:hAnsi="Arial" w:cs="Arial"/>
          <w:lang w:val="en-US"/>
        </w:rPr>
      </w:pPr>
    </w:p>
    <w:p w14:paraId="69F8E0E1" w14:textId="77777777" w:rsidR="00216626" w:rsidRPr="00216626" w:rsidRDefault="00216626" w:rsidP="00216626">
      <w:pPr>
        <w:pStyle w:val="ListParagraph"/>
        <w:numPr>
          <w:ilvl w:val="1"/>
          <w:numId w:val="14"/>
        </w:numPr>
        <w:spacing w:after="160" w:line="259" w:lineRule="auto"/>
        <w:contextualSpacing/>
        <w:rPr>
          <w:rFonts w:ascii="Arial" w:hAnsi="Arial" w:cs="Arial"/>
        </w:rPr>
      </w:pPr>
      <w:r w:rsidRPr="00216626">
        <w:rPr>
          <w:rFonts w:ascii="Arial" w:hAnsi="Arial" w:cs="Arial"/>
          <w:lang w:val="en-US"/>
        </w:rPr>
        <w:t>At its simplest, commissioning is the process of planning, arranging/procuring and monitoring services. However, in a health and care system where planning, procuring and monitoring services will increasingly be according to shared priorities between health and social care, commissioning is not a simple process. It encompasses the needs assessment for a population, agreement of shared priorities, the design of care pathways, market stimulation and demand management, development of service specifications and contract negotiations or procurement, with continuous quality assessment and review that services contribute to improved outcomes.</w:t>
      </w:r>
    </w:p>
    <w:p w14:paraId="78443673" w14:textId="77777777" w:rsidR="00216626" w:rsidRPr="00216626" w:rsidRDefault="00216626" w:rsidP="00216626">
      <w:pPr>
        <w:pStyle w:val="ListParagraph"/>
        <w:rPr>
          <w:rFonts w:ascii="Arial" w:hAnsi="Arial" w:cs="Arial"/>
          <w:lang w:val="en-US"/>
        </w:rPr>
      </w:pPr>
    </w:p>
    <w:p w14:paraId="0B4DE79E" w14:textId="77777777" w:rsidR="00216626" w:rsidRDefault="00216626" w:rsidP="00216626">
      <w:pPr>
        <w:pStyle w:val="ListParagraph"/>
        <w:numPr>
          <w:ilvl w:val="1"/>
          <w:numId w:val="14"/>
        </w:numPr>
        <w:spacing w:after="160" w:line="259" w:lineRule="auto"/>
        <w:contextualSpacing/>
        <w:rPr>
          <w:rFonts w:ascii="Arial" w:hAnsi="Arial" w:cs="Arial"/>
        </w:rPr>
      </w:pPr>
      <w:r w:rsidRPr="00216626">
        <w:rPr>
          <w:rFonts w:ascii="Arial" w:hAnsi="Arial" w:cs="Arial"/>
          <w:lang w:val="en-US"/>
        </w:rPr>
        <w:t>While there is no single geography across which all services should be commissioned, over the past year there has been a strong focus on strategic commissioning.  At this level, t</w:t>
      </w:r>
      <w:r w:rsidRPr="00216626">
        <w:rPr>
          <w:rFonts w:ascii="Arial" w:hAnsi="Arial" w:cs="Arial"/>
        </w:rPr>
        <w:t xml:space="preserve">he commissioning landscape for health and social care is changing rapidly.  The creation of 44 STPs and the development of health devolution in some areas has dominated local discussions of commissioning. There are sound reasons to take a more strategic approach to commissioning but local health and care system leaders have begun to question their role in future commissioning. </w:t>
      </w:r>
    </w:p>
    <w:p w14:paraId="1C9F47ED" w14:textId="77777777" w:rsidR="00216626" w:rsidRPr="00216626" w:rsidRDefault="00216626" w:rsidP="00216626">
      <w:pPr>
        <w:pStyle w:val="ListParagraph"/>
        <w:rPr>
          <w:rFonts w:ascii="Arial" w:hAnsi="Arial" w:cs="Arial"/>
        </w:rPr>
      </w:pPr>
    </w:p>
    <w:p w14:paraId="231F8DA0" w14:textId="77777777" w:rsidR="00216626" w:rsidRDefault="00216626" w:rsidP="00216626">
      <w:pPr>
        <w:pStyle w:val="ListParagraph"/>
        <w:numPr>
          <w:ilvl w:val="1"/>
          <w:numId w:val="14"/>
        </w:numPr>
        <w:spacing w:after="160" w:line="259" w:lineRule="auto"/>
        <w:contextualSpacing/>
        <w:rPr>
          <w:rFonts w:ascii="Arial" w:hAnsi="Arial" w:cs="Arial"/>
        </w:rPr>
      </w:pPr>
      <w:r w:rsidRPr="00216626">
        <w:rPr>
          <w:rFonts w:ascii="Arial" w:hAnsi="Arial" w:cs="Arial"/>
        </w:rPr>
        <w:t>Another major development in the commissioning landscape is the emergence of new care models that end the traditional commissioner/provider split in the NHS.  Multi-speciality community providers (MCPs), primary acute community services (PACs) and accountable care organisations (ACOs) are all new and as yet untested models for commissioning and providing health, and in some cases, social care and public health services within a single organisation.</w:t>
      </w:r>
    </w:p>
    <w:p w14:paraId="7C7922CD" w14:textId="77777777" w:rsidR="00216626" w:rsidRPr="00216626" w:rsidRDefault="00216626" w:rsidP="00216626">
      <w:pPr>
        <w:pStyle w:val="ListParagraph"/>
        <w:rPr>
          <w:rFonts w:ascii="Arial" w:hAnsi="Arial" w:cs="Arial"/>
        </w:rPr>
      </w:pPr>
    </w:p>
    <w:p w14:paraId="0B423646" w14:textId="77777777" w:rsidR="00216626" w:rsidRPr="00216626" w:rsidRDefault="00216626" w:rsidP="00216626">
      <w:pPr>
        <w:pStyle w:val="ListParagraph"/>
        <w:numPr>
          <w:ilvl w:val="1"/>
          <w:numId w:val="14"/>
        </w:numPr>
        <w:spacing w:after="160" w:line="259" w:lineRule="auto"/>
        <w:contextualSpacing/>
        <w:rPr>
          <w:rFonts w:ascii="Arial" w:hAnsi="Arial" w:cs="Arial"/>
          <w:b/>
        </w:rPr>
      </w:pPr>
      <w:r w:rsidRPr="00216626">
        <w:rPr>
          <w:rFonts w:ascii="Arial" w:hAnsi="Arial" w:cs="Arial"/>
        </w:rPr>
        <w:lastRenderedPageBreak/>
        <w:t xml:space="preserve">These changes contribute to widespread uncertainty about the future of local commissioning. In particular, whether some of the core components of our local health and care landscapes continue to have role in commissioning – in particular, health and wellbeing boards and clinical commissioning groups.  </w:t>
      </w:r>
    </w:p>
    <w:p w14:paraId="650CB4AA" w14:textId="77777777" w:rsidR="00216626" w:rsidRPr="00216626" w:rsidRDefault="00216626" w:rsidP="002C2994">
      <w:pPr>
        <w:pStyle w:val="ListParagraph"/>
        <w:ind w:left="0"/>
        <w:rPr>
          <w:rFonts w:ascii="Arial" w:hAnsi="Arial" w:cs="Arial"/>
          <w:b/>
        </w:rPr>
      </w:pPr>
    </w:p>
    <w:p w14:paraId="40BF26F2" w14:textId="77777777" w:rsidR="00216626" w:rsidRPr="002C2994" w:rsidRDefault="00216626" w:rsidP="002C2994">
      <w:pPr>
        <w:pStyle w:val="ListParagraph"/>
        <w:numPr>
          <w:ilvl w:val="0"/>
          <w:numId w:val="14"/>
        </w:numPr>
        <w:spacing w:after="160" w:line="259" w:lineRule="auto"/>
        <w:contextualSpacing/>
        <w:rPr>
          <w:rFonts w:ascii="Arial" w:hAnsi="Arial" w:cs="Arial"/>
          <w:u w:val="single"/>
        </w:rPr>
      </w:pPr>
      <w:r w:rsidRPr="002C2994">
        <w:rPr>
          <w:rFonts w:ascii="Arial" w:hAnsi="Arial" w:cs="Arial"/>
          <w:u w:val="single"/>
        </w:rPr>
        <w:t>Purpose</w:t>
      </w:r>
    </w:p>
    <w:p w14:paraId="15BCD96D" w14:textId="77777777" w:rsidR="00216626" w:rsidRDefault="00216626" w:rsidP="00216626">
      <w:pPr>
        <w:pStyle w:val="ListParagraph"/>
        <w:spacing w:after="160" w:line="259" w:lineRule="auto"/>
        <w:ind w:left="0"/>
        <w:contextualSpacing/>
        <w:rPr>
          <w:rFonts w:ascii="Arial" w:hAnsi="Arial" w:cs="Arial"/>
        </w:rPr>
      </w:pPr>
    </w:p>
    <w:p w14:paraId="35992039" w14:textId="77777777" w:rsidR="00216626" w:rsidRDefault="00216626" w:rsidP="002C2994">
      <w:pPr>
        <w:pStyle w:val="ListParagraph"/>
        <w:numPr>
          <w:ilvl w:val="1"/>
          <w:numId w:val="14"/>
        </w:numPr>
        <w:spacing w:after="160" w:line="259" w:lineRule="auto"/>
        <w:ind w:left="715"/>
        <w:contextualSpacing/>
        <w:rPr>
          <w:rFonts w:ascii="Arial" w:hAnsi="Arial" w:cs="Arial"/>
        </w:rPr>
      </w:pPr>
      <w:r w:rsidRPr="00216626">
        <w:rPr>
          <w:rFonts w:ascii="Arial" w:hAnsi="Arial" w:cs="Arial"/>
        </w:rPr>
        <w:t>This inquiry will seek to influence the future development of local health and care commissioning, in particular for achieving integration by:</w:t>
      </w:r>
    </w:p>
    <w:p w14:paraId="1135674A" w14:textId="77777777" w:rsidR="002C2994" w:rsidRDefault="002C2994" w:rsidP="00FE6CA7">
      <w:pPr>
        <w:pStyle w:val="ListParagraph"/>
        <w:spacing w:after="160" w:line="259" w:lineRule="auto"/>
        <w:ind w:left="1247"/>
        <w:contextualSpacing/>
        <w:rPr>
          <w:rFonts w:ascii="Arial" w:hAnsi="Arial" w:cs="Arial"/>
        </w:rPr>
      </w:pPr>
    </w:p>
    <w:p w14:paraId="33A9DBD5" w14:textId="127804E2" w:rsidR="00216626" w:rsidRDefault="00EA6CCB" w:rsidP="00FE6CA7">
      <w:pPr>
        <w:pStyle w:val="ListParagraph"/>
        <w:numPr>
          <w:ilvl w:val="2"/>
          <w:numId w:val="14"/>
        </w:numPr>
        <w:ind w:left="1247" w:hanging="624"/>
        <w:contextualSpacing/>
        <w:rPr>
          <w:rFonts w:ascii="Arial" w:hAnsi="Arial" w:cs="Arial"/>
        </w:rPr>
      </w:pPr>
      <w:r>
        <w:rPr>
          <w:rFonts w:ascii="Arial" w:hAnsi="Arial" w:cs="Arial"/>
        </w:rPr>
        <w:t>A</w:t>
      </w:r>
      <w:r w:rsidR="00216626" w:rsidRPr="00216626">
        <w:rPr>
          <w:rFonts w:ascii="Arial" w:hAnsi="Arial" w:cs="Arial"/>
        </w:rPr>
        <w:t>sking and addressing some of the big questions facing local commissioners (see below)</w:t>
      </w:r>
      <w:r>
        <w:rPr>
          <w:rFonts w:ascii="Arial" w:hAnsi="Arial" w:cs="Arial"/>
        </w:rPr>
        <w:t>.</w:t>
      </w:r>
    </w:p>
    <w:p w14:paraId="48C833B6" w14:textId="77777777" w:rsidR="002C2994" w:rsidRDefault="002C2994" w:rsidP="00FE6CA7">
      <w:pPr>
        <w:pStyle w:val="ListParagraph"/>
        <w:ind w:left="1247"/>
        <w:contextualSpacing/>
        <w:rPr>
          <w:rFonts w:ascii="Arial" w:hAnsi="Arial" w:cs="Arial"/>
        </w:rPr>
      </w:pPr>
    </w:p>
    <w:p w14:paraId="098E8F66" w14:textId="666AA219" w:rsidR="002C2994" w:rsidRDefault="00EA6CCB" w:rsidP="00FE6CA7">
      <w:pPr>
        <w:pStyle w:val="ListParagraph"/>
        <w:numPr>
          <w:ilvl w:val="2"/>
          <w:numId w:val="14"/>
        </w:numPr>
        <w:ind w:left="1247" w:hanging="624"/>
        <w:contextualSpacing/>
        <w:rPr>
          <w:rFonts w:ascii="Arial" w:hAnsi="Arial" w:cs="Arial"/>
        </w:rPr>
      </w:pPr>
      <w:r>
        <w:rPr>
          <w:rFonts w:ascii="Arial" w:hAnsi="Arial" w:cs="Arial"/>
        </w:rPr>
        <w:t>I</w:t>
      </w:r>
      <w:r w:rsidR="00216626" w:rsidRPr="002C2994">
        <w:rPr>
          <w:rFonts w:ascii="Arial" w:hAnsi="Arial" w:cs="Arial"/>
        </w:rPr>
        <w:t>dentifying good practice in innovative local commissioning that indicates how local commissioning can develop in the future</w:t>
      </w:r>
      <w:r>
        <w:rPr>
          <w:rFonts w:ascii="Arial" w:hAnsi="Arial" w:cs="Arial"/>
        </w:rPr>
        <w:t>.</w:t>
      </w:r>
      <w:r w:rsidR="00216626" w:rsidRPr="002C2994">
        <w:rPr>
          <w:rFonts w:ascii="Arial" w:hAnsi="Arial" w:cs="Arial"/>
        </w:rPr>
        <w:t xml:space="preserve"> </w:t>
      </w:r>
    </w:p>
    <w:p w14:paraId="43749EF0" w14:textId="77777777" w:rsidR="002C2994" w:rsidRPr="002C2994" w:rsidRDefault="002C2994" w:rsidP="00FE6CA7">
      <w:pPr>
        <w:ind w:left="1247"/>
        <w:contextualSpacing/>
        <w:rPr>
          <w:rFonts w:ascii="Arial" w:hAnsi="Arial" w:cs="Arial"/>
        </w:rPr>
      </w:pPr>
    </w:p>
    <w:p w14:paraId="47121B86" w14:textId="4B8FEF59" w:rsidR="002C2994" w:rsidRDefault="00EA6CCB" w:rsidP="00FE6CA7">
      <w:pPr>
        <w:pStyle w:val="ListParagraph"/>
        <w:numPr>
          <w:ilvl w:val="2"/>
          <w:numId w:val="14"/>
        </w:numPr>
        <w:ind w:left="1247" w:hanging="624"/>
        <w:contextualSpacing/>
        <w:rPr>
          <w:rFonts w:ascii="Arial" w:hAnsi="Arial" w:cs="Arial"/>
        </w:rPr>
      </w:pPr>
      <w:r>
        <w:rPr>
          <w:rFonts w:ascii="Arial" w:hAnsi="Arial" w:cs="Arial"/>
        </w:rPr>
        <w:t>I</w:t>
      </w:r>
      <w:r w:rsidR="00216626" w:rsidRPr="002C2994">
        <w:rPr>
          <w:rFonts w:ascii="Arial" w:hAnsi="Arial" w:cs="Arial"/>
        </w:rPr>
        <w:t>dentifying continuing barriers to effective local commissioning</w:t>
      </w:r>
      <w:r w:rsidR="00AB59E8">
        <w:rPr>
          <w:rFonts w:ascii="Arial" w:hAnsi="Arial" w:cs="Arial"/>
        </w:rPr>
        <w:t>.</w:t>
      </w:r>
      <w:bookmarkStart w:id="3" w:name="_GoBack"/>
      <w:bookmarkEnd w:id="3"/>
      <w:r w:rsidR="00216626" w:rsidRPr="002C2994">
        <w:rPr>
          <w:rFonts w:ascii="Arial" w:hAnsi="Arial" w:cs="Arial"/>
        </w:rPr>
        <w:t xml:space="preserve"> </w:t>
      </w:r>
    </w:p>
    <w:p w14:paraId="6B8FB8D3" w14:textId="77777777" w:rsidR="002C2994" w:rsidRPr="002C2994" w:rsidRDefault="002C2994" w:rsidP="00FE6CA7">
      <w:pPr>
        <w:ind w:left="1247"/>
        <w:contextualSpacing/>
        <w:rPr>
          <w:rFonts w:ascii="Arial" w:hAnsi="Arial" w:cs="Arial"/>
        </w:rPr>
      </w:pPr>
    </w:p>
    <w:p w14:paraId="267862FA" w14:textId="089152A9" w:rsidR="00216626" w:rsidRPr="002C2994" w:rsidRDefault="00EA6CCB" w:rsidP="00FE6CA7">
      <w:pPr>
        <w:pStyle w:val="ListParagraph"/>
        <w:numPr>
          <w:ilvl w:val="2"/>
          <w:numId w:val="14"/>
        </w:numPr>
        <w:ind w:left="1247" w:hanging="624"/>
        <w:contextualSpacing/>
        <w:rPr>
          <w:rFonts w:ascii="Arial" w:hAnsi="Arial" w:cs="Arial"/>
        </w:rPr>
      </w:pPr>
      <w:r>
        <w:rPr>
          <w:rFonts w:ascii="Arial" w:hAnsi="Arial" w:cs="Arial"/>
        </w:rPr>
        <w:t>M</w:t>
      </w:r>
      <w:r w:rsidR="00216626" w:rsidRPr="002C2994">
        <w:rPr>
          <w:rFonts w:ascii="Arial" w:hAnsi="Arial" w:cs="Arial"/>
        </w:rPr>
        <w:t>aking recommendations to national and local system leaders.</w:t>
      </w:r>
    </w:p>
    <w:p w14:paraId="7379CBC9" w14:textId="77777777" w:rsidR="00216626" w:rsidRDefault="00216626" w:rsidP="00216626">
      <w:pPr>
        <w:pStyle w:val="ListParagraph"/>
        <w:ind w:left="0"/>
        <w:rPr>
          <w:rFonts w:ascii="Arial" w:hAnsi="Arial" w:cs="Arial"/>
        </w:rPr>
      </w:pPr>
    </w:p>
    <w:p w14:paraId="228BDC5A" w14:textId="286F1348" w:rsidR="00216626" w:rsidRDefault="00216626" w:rsidP="002C2994">
      <w:pPr>
        <w:pStyle w:val="ListParagraph"/>
        <w:numPr>
          <w:ilvl w:val="0"/>
          <w:numId w:val="14"/>
        </w:numPr>
        <w:spacing w:after="160" w:line="259" w:lineRule="auto"/>
        <w:contextualSpacing/>
        <w:rPr>
          <w:rFonts w:ascii="Arial" w:hAnsi="Arial" w:cs="Arial"/>
          <w:u w:val="single"/>
        </w:rPr>
      </w:pPr>
      <w:r w:rsidRPr="002C2994">
        <w:rPr>
          <w:rFonts w:ascii="Arial" w:hAnsi="Arial" w:cs="Arial"/>
          <w:u w:val="single"/>
        </w:rPr>
        <w:t xml:space="preserve">What are the big questions? </w:t>
      </w:r>
    </w:p>
    <w:p w14:paraId="45214FD8" w14:textId="77777777" w:rsidR="002C2994" w:rsidRPr="002C2994" w:rsidRDefault="002C2994" w:rsidP="002C2994">
      <w:pPr>
        <w:pStyle w:val="ListParagraph"/>
        <w:spacing w:after="160" w:line="259" w:lineRule="auto"/>
        <w:ind w:left="360"/>
        <w:contextualSpacing/>
        <w:rPr>
          <w:rFonts w:ascii="Arial" w:hAnsi="Arial" w:cs="Arial"/>
          <w:u w:val="single"/>
        </w:rPr>
      </w:pPr>
    </w:p>
    <w:p w14:paraId="512E3475" w14:textId="77777777" w:rsidR="002C2994" w:rsidRDefault="00216626" w:rsidP="002C2994">
      <w:pPr>
        <w:pStyle w:val="ListParagraph"/>
        <w:numPr>
          <w:ilvl w:val="1"/>
          <w:numId w:val="14"/>
        </w:numPr>
        <w:spacing w:after="160" w:line="259" w:lineRule="auto"/>
        <w:ind w:left="680"/>
        <w:contextualSpacing/>
        <w:rPr>
          <w:rFonts w:ascii="Arial" w:hAnsi="Arial" w:cs="Arial"/>
        </w:rPr>
      </w:pPr>
      <w:r w:rsidRPr="002C2994">
        <w:rPr>
          <w:rFonts w:ascii="Arial" w:hAnsi="Arial" w:cs="Arial"/>
        </w:rPr>
        <w:t>With the development of STPs and health devolution, is there a continued need for local commissioning of health and care services?</w:t>
      </w:r>
    </w:p>
    <w:p w14:paraId="56504B56" w14:textId="77777777" w:rsidR="002C2994" w:rsidRDefault="002C2994" w:rsidP="002C2994">
      <w:pPr>
        <w:pStyle w:val="ListParagraph"/>
        <w:spacing w:after="160" w:line="259" w:lineRule="auto"/>
        <w:ind w:left="680"/>
        <w:contextualSpacing/>
        <w:rPr>
          <w:rFonts w:ascii="Arial" w:hAnsi="Arial" w:cs="Arial"/>
        </w:rPr>
      </w:pPr>
    </w:p>
    <w:p w14:paraId="61670F90" w14:textId="77777777" w:rsidR="002C2994" w:rsidRDefault="00216626" w:rsidP="002C2994">
      <w:pPr>
        <w:pStyle w:val="ListParagraph"/>
        <w:numPr>
          <w:ilvl w:val="1"/>
          <w:numId w:val="14"/>
        </w:numPr>
        <w:spacing w:after="160" w:line="259" w:lineRule="auto"/>
        <w:ind w:left="680"/>
        <w:contextualSpacing/>
        <w:rPr>
          <w:rFonts w:ascii="Arial" w:hAnsi="Arial" w:cs="Arial"/>
        </w:rPr>
      </w:pPr>
      <w:r w:rsidRPr="002C2994">
        <w:rPr>
          <w:rFonts w:ascii="Arial" w:hAnsi="Arial" w:cs="Arial"/>
        </w:rPr>
        <w:t xml:space="preserve">Is there a single unit of ‘place’ that is right for place based commissioning? If not, then how do we ensure that commissioning is done at the right level? </w:t>
      </w:r>
    </w:p>
    <w:p w14:paraId="53FA85EF" w14:textId="77777777" w:rsidR="002C2994" w:rsidRPr="002C2994" w:rsidRDefault="002C2994" w:rsidP="002C2994">
      <w:pPr>
        <w:pStyle w:val="ListParagraph"/>
        <w:ind w:left="680"/>
        <w:rPr>
          <w:rFonts w:ascii="Arial" w:hAnsi="Arial" w:cs="Arial"/>
        </w:rPr>
      </w:pPr>
    </w:p>
    <w:p w14:paraId="7F4A15D6" w14:textId="34CD2BC4" w:rsidR="002C2994" w:rsidRDefault="00216626" w:rsidP="002C2994">
      <w:pPr>
        <w:pStyle w:val="ListParagraph"/>
        <w:numPr>
          <w:ilvl w:val="1"/>
          <w:numId w:val="14"/>
        </w:numPr>
        <w:spacing w:after="160" w:line="259" w:lineRule="auto"/>
        <w:ind w:left="680"/>
        <w:contextualSpacing/>
        <w:rPr>
          <w:rFonts w:ascii="Arial" w:hAnsi="Arial" w:cs="Arial"/>
        </w:rPr>
      </w:pPr>
      <w:r w:rsidRPr="002C2994">
        <w:rPr>
          <w:rFonts w:ascii="Arial" w:hAnsi="Arial" w:cs="Arial"/>
        </w:rPr>
        <w:t>How do we put into practice the principle of subsidiarity?</w:t>
      </w:r>
    </w:p>
    <w:p w14:paraId="4E1F6850" w14:textId="77777777" w:rsidR="002C2994" w:rsidRPr="002C2994" w:rsidRDefault="002C2994" w:rsidP="002C2994">
      <w:pPr>
        <w:pStyle w:val="ListParagraph"/>
        <w:spacing w:after="160" w:line="259" w:lineRule="auto"/>
        <w:ind w:left="680"/>
        <w:contextualSpacing/>
        <w:rPr>
          <w:rFonts w:ascii="Arial" w:hAnsi="Arial" w:cs="Arial"/>
        </w:rPr>
      </w:pPr>
    </w:p>
    <w:p w14:paraId="0D56E763" w14:textId="77777777" w:rsidR="002C2994" w:rsidRDefault="00216626" w:rsidP="002C2994">
      <w:pPr>
        <w:pStyle w:val="ListParagraph"/>
        <w:numPr>
          <w:ilvl w:val="1"/>
          <w:numId w:val="14"/>
        </w:numPr>
        <w:spacing w:after="160" w:line="259" w:lineRule="auto"/>
        <w:ind w:left="680"/>
        <w:contextualSpacing/>
        <w:rPr>
          <w:rFonts w:ascii="Arial" w:hAnsi="Arial" w:cs="Arial"/>
        </w:rPr>
      </w:pPr>
      <w:r w:rsidRPr="002C2994">
        <w:rPr>
          <w:rFonts w:ascii="Arial" w:hAnsi="Arial" w:cs="Arial"/>
        </w:rPr>
        <w:t>What is the role and contribution of health and wellbeing boards in place based commissioning?</w:t>
      </w:r>
    </w:p>
    <w:p w14:paraId="3E14DCD7" w14:textId="77777777" w:rsidR="002C2994" w:rsidRDefault="002C2994" w:rsidP="002C2994">
      <w:pPr>
        <w:pStyle w:val="ListParagraph"/>
        <w:spacing w:after="160" w:line="259" w:lineRule="auto"/>
        <w:ind w:left="680"/>
        <w:contextualSpacing/>
        <w:rPr>
          <w:rFonts w:ascii="Arial" w:hAnsi="Arial" w:cs="Arial"/>
        </w:rPr>
      </w:pPr>
    </w:p>
    <w:p w14:paraId="4168E764" w14:textId="6417BA38" w:rsidR="002C2994" w:rsidRDefault="00216626" w:rsidP="002C2994">
      <w:pPr>
        <w:pStyle w:val="ListParagraph"/>
        <w:numPr>
          <w:ilvl w:val="1"/>
          <w:numId w:val="14"/>
        </w:numPr>
        <w:spacing w:after="160" w:line="259" w:lineRule="auto"/>
        <w:ind w:left="680"/>
        <w:contextualSpacing/>
        <w:rPr>
          <w:rFonts w:ascii="Arial" w:hAnsi="Arial" w:cs="Arial"/>
        </w:rPr>
      </w:pPr>
      <w:r w:rsidRPr="002C2994">
        <w:rPr>
          <w:rFonts w:ascii="Arial" w:hAnsi="Arial" w:cs="Arial"/>
        </w:rPr>
        <w:t>With the growth of MCPs, PACs, ACOs and other models of care that incorporate commissioning and delivery of services, is there a continued need for clinical commissioning groups?</w:t>
      </w:r>
    </w:p>
    <w:p w14:paraId="7D4FF2A5" w14:textId="77777777" w:rsidR="002C2994" w:rsidRPr="002C2994" w:rsidRDefault="002C2994" w:rsidP="002C2994">
      <w:pPr>
        <w:pStyle w:val="ListParagraph"/>
        <w:spacing w:after="160" w:line="259" w:lineRule="auto"/>
        <w:ind w:left="680"/>
        <w:contextualSpacing/>
        <w:rPr>
          <w:rFonts w:ascii="Arial" w:hAnsi="Arial" w:cs="Arial"/>
        </w:rPr>
      </w:pPr>
    </w:p>
    <w:p w14:paraId="4D945A80" w14:textId="77777777" w:rsidR="002C2994" w:rsidRDefault="00216626" w:rsidP="002C2994">
      <w:pPr>
        <w:pStyle w:val="ListParagraph"/>
        <w:numPr>
          <w:ilvl w:val="1"/>
          <w:numId w:val="14"/>
        </w:numPr>
        <w:spacing w:after="160" w:line="259" w:lineRule="auto"/>
        <w:ind w:left="680"/>
        <w:contextualSpacing/>
        <w:rPr>
          <w:rFonts w:ascii="Arial" w:hAnsi="Arial" w:cs="Arial"/>
        </w:rPr>
      </w:pPr>
      <w:r w:rsidRPr="002C2994">
        <w:rPr>
          <w:rFonts w:ascii="Arial" w:hAnsi="Arial" w:cs="Arial"/>
        </w:rPr>
        <w:t>What potential do we have to build on existing joint or lead commissioning?</w:t>
      </w:r>
    </w:p>
    <w:p w14:paraId="2B13EE8B" w14:textId="77777777" w:rsidR="002C2994" w:rsidRDefault="002C2994" w:rsidP="002C2994">
      <w:pPr>
        <w:pStyle w:val="ListParagraph"/>
        <w:spacing w:after="160" w:line="259" w:lineRule="auto"/>
        <w:ind w:left="680"/>
        <w:contextualSpacing/>
        <w:rPr>
          <w:rFonts w:ascii="Arial" w:hAnsi="Arial" w:cs="Arial"/>
        </w:rPr>
      </w:pPr>
    </w:p>
    <w:p w14:paraId="0170F10C" w14:textId="77777777" w:rsidR="002C2994" w:rsidRDefault="00216626" w:rsidP="002C2994">
      <w:pPr>
        <w:pStyle w:val="ListParagraph"/>
        <w:numPr>
          <w:ilvl w:val="1"/>
          <w:numId w:val="14"/>
        </w:numPr>
        <w:spacing w:after="160" w:line="259" w:lineRule="auto"/>
        <w:ind w:left="680"/>
        <w:contextualSpacing/>
        <w:rPr>
          <w:rFonts w:ascii="Arial" w:hAnsi="Arial" w:cs="Arial"/>
        </w:rPr>
      </w:pPr>
      <w:r w:rsidRPr="002C2994">
        <w:rPr>
          <w:rFonts w:ascii="Arial" w:hAnsi="Arial" w:cs="Arial"/>
        </w:rPr>
        <w:t>How do we ensure that the focus personalisation and micro-commissioning is maintained and expanded?</w:t>
      </w:r>
    </w:p>
    <w:p w14:paraId="7B3AED13" w14:textId="77777777" w:rsidR="002C2994" w:rsidRDefault="002C2994" w:rsidP="002C2994">
      <w:pPr>
        <w:pStyle w:val="ListParagraph"/>
        <w:spacing w:after="160" w:line="259" w:lineRule="auto"/>
        <w:ind w:left="680"/>
        <w:contextualSpacing/>
        <w:rPr>
          <w:rFonts w:ascii="Arial" w:hAnsi="Arial" w:cs="Arial"/>
        </w:rPr>
      </w:pPr>
    </w:p>
    <w:p w14:paraId="3A407671" w14:textId="77777777" w:rsidR="002C2994" w:rsidRDefault="00216626" w:rsidP="002C2994">
      <w:pPr>
        <w:pStyle w:val="ListParagraph"/>
        <w:numPr>
          <w:ilvl w:val="1"/>
          <w:numId w:val="14"/>
        </w:numPr>
        <w:spacing w:after="160" w:line="259" w:lineRule="auto"/>
        <w:ind w:left="680"/>
        <w:contextualSpacing/>
        <w:rPr>
          <w:rFonts w:ascii="Arial" w:hAnsi="Arial" w:cs="Arial"/>
        </w:rPr>
      </w:pPr>
      <w:r w:rsidRPr="002C2994">
        <w:rPr>
          <w:rFonts w:ascii="Arial" w:hAnsi="Arial" w:cs="Arial"/>
        </w:rPr>
        <w:t>How do we ensure that we can effectively commission for improved health and wellbeing outcomes?</w:t>
      </w:r>
    </w:p>
    <w:p w14:paraId="51583846" w14:textId="77777777" w:rsidR="002C2994" w:rsidRDefault="002C2994" w:rsidP="002C2994">
      <w:pPr>
        <w:pStyle w:val="ListParagraph"/>
        <w:spacing w:after="160" w:line="259" w:lineRule="auto"/>
        <w:ind w:left="680"/>
        <w:contextualSpacing/>
        <w:rPr>
          <w:rFonts w:ascii="Arial" w:hAnsi="Arial" w:cs="Arial"/>
        </w:rPr>
      </w:pPr>
    </w:p>
    <w:p w14:paraId="3DA7D34B" w14:textId="77777777" w:rsidR="002C2994" w:rsidRDefault="00216626" w:rsidP="002C2994">
      <w:pPr>
        <w:pStyle w:val="ListParagraph"/>
        <w:numPr>
          <w:ilvl w:val="1"/>
          <w:numId w:val="14"/>
        </w:numPr>
        <w:spacing w:after="160" w:line="259" w:lineRule="auto"/>
        <w:ind w:left="680"/>
        <w:contextualSpacing/>
        <w:rPr>
          <w:rFonts w:ascii="Arial" w:hAnsi="Arial" w:cs="Arial"/>
        </w:rPr>
      </w:pPr>
      <w:r w:rsidRPr="002C2994">
        <w:rPr>
          <w:rFonts w:ascii="Arial" w:hAnsi="Arial" w:cs="Arial"/>
        </w:rPr>
        <w:t xml:space="preserve">To what extent are existing legislative, regulatory and financial frameworks barriers to effective local place-based commissioning? </w:t>
      </w:r>
    </w:p>
    <w:p w14:paraId="111EB140" w14:textId="77777777" w:rsidR="002C2994" w:rsidRPr="002C2994" w:rsidRDefault="002C2994" w:rsidP="002C2994">
      <w:pPr>
        <w:pStyle w:val="ListParagraph"/>
        <w:rPr>
          <w:rFonts w:ascii="Arial" w:hAnsi="Arial" w:cs="Arial"/>
        </w:rPr>
      </w:pPr>
    </w:p>
    <w:p w14:paraId="17B21DAC" w14:textId="55CD3FFC" w:rsidR="00216626" w:rsidRDefault="002C2994" w:rsidP="00081E27">
      <w:pPr>
        <w:spacing w:after="160" w:line="259" w:lineRule="auto"/>
        <w:ind w:left="737" w:hanging="737"/>
        <w:contextualSpacing/>
        <w:rPr>
          <w:rFonts w:ascii="Arial" w:hAnsi="Arial" w:cs="Arial"/>
        </w:rPr>
      </w:pPr>
      <w:r>
        <w:rPr>
          <w:rFonts w:ascii="Arial" w:hAnsi="Arial" w:cs="Arial"/>
        </w:rPr>
        <w:t xml:space="preserve">    5.10 How should legislative, regulatory and financial frameworks change to support more effective local commissioning?</w:t>
      </w:r>
    </w:p>
    <w:p w14:paraId="27291266" w14:textId="77777777" w:rsidR="00216626" w:rsidRDefault="00216626" w:rsidP="00081E27">
      <w:pPr>
        <w:pStyle w:val="ListParagraph"/>
        <w:numPr>
          <w:ilvl w:val="0"/>
          <w:numId w:val="14"/>
        </w:numPr>
        <w:spacing w:after="160" w:line="259" w:lineRule="auto"/>
        <w:contextualSpacing/>
        <w:rPr>
          <w:rFonts w:ascii="Arial" w:hAnsi="Arial" w:cs="Arial"/>
          <w:u w:val="single"/>
        </w:rPr>
      </w:pPr>
      <w:r w:rsidRPr="00081E27">
        <w:rPr>
          <w:rFonts w:ascii="Arial" w:hAnsi="Arial" w:cs="Arial"/>
          <w:u w:val="single"/>
        </w:rPr>
        <w:t>Governance arrangements for project</w:t>
      </w:r>
    </w:p>
    <w:p w14:paraId="41B6C5AC" w14:textId="77777777" w:rsidR="009B5484" w:rsidRPr="00081E27" w:rsidRDefault="009B5484" w:rsidP="009B5484">
      <w:pPr>
        <w:pStyle w:val="ListParagraph"/>
        <w:spacing w:after="160" w:line="259" w:lineRule="auto"/>
        <w:ind w:left="360"/>
        <w:contextualSpacing/>
        <w:rPr>
          <w:rFonts w:ascii="Arial" w:hAnsi="Arial" w:cs="Arial"/>
          <w:u w:val="single"/>
        </w:rPr>
      </w:pPr>
    </w:p>
    <w:p w14:paraId="2C5BB613" w14:textId="24825576" w:rsidR="00081E27" w:rsidRDefault="00216626" w:rsidP="00081E27">
      <w:pPr>
        <w:pStyle w:val="ListParagraph"/>
        <w:numPr>
          <w:ilvl w:val="1"/>
          <w:numId w:val="14"/>
        </w:numPr>
        <w:spacing w:after="160" w:line="259" w:lineRule="auto"/>
        <w:ind w:left="715"/>
        <w:contextualSpacing/>
        <w:rPr>
          <w:rFonts w:ascii="Arial" w:hAnsi="Arial" w:cs="Arial"/>
        </w:rPr>
      </w:pPr>
      <w:r w:rsidRPr="00081E27">
        <w:rPr>
          <w:rFonts w:ascii="Arial" w:hAnsi="Arial" w:cs="Arial"/>
        </w:rPr>
        <w:t xml:space="preserve">This will be undertaken in partnership between the LGA and NHS Confederation. The overall project brief will be signed off by the Community Wellbeing Board and </w:t>
      </w:r>
      <w:r w:rsidR="00D70F93">
        <w:rPr>
          <w:rFonts w:ascii="Arial" w:hAnsi="Arial" w:cs="Arial"/>
        </w:rPr>
        <w:t>appropriate NHS Confederation governance.</w:t>
      </w:r>
      <w:r w:rsidRPr="00081E27">
        <w:rPr>
          <w:rFonts w:ascii="Arial" w:hAnsi="Arial" w:cs="Arial"/>
        </w:rPr>
        <w:t xml:space="preserve"> </w:t>
      </w:r>
    </w:p>
    <w:p w14:paraId="1782B932" w14:textId="77777777" w:rsidR="00081E27" w:rsidRDefault="00081E27" w:rsidP="00081E27">
      <w:pPr>
        <w:pStyle w:val="ListParagraph"/>
        <w:spacing w:after="160" w:line="259" w:lineRule="auto"/>
        <w:ind w:left="715"/>
        <w:contextualSpacing/>
        <w:rPr>
          <w:rFonts w:ascii="Arial" w:hAnsi="Arial" w:cs="Arial"/>
        </w:rPr>
      </w:pPr>
    </w:p>
    <w:p w14:paraId="14E34C4A" w14:textId="77777777" w:rsidR="00081E27" w:rsidRDefault="00216626" w:rsidP="00081E27">
      <w:pPr>
        <w:pStyle w:val="ListParagraph"/>
        <w:numPr>
          <w:ilvl w:val="1"/>
          <w:numId w:val="14"/>
        </w:numPr>
        <w:spacing w:after="160" w:line="259" w:lineRule="auto"/>
        <w:ind w:left="715"/>
        <w:contextualSpacing/>
        <w:rPr>
          <w:rFonts w:ascii="Arial" w:hAnsi="Arial" w:cs="Arial"/>
        </w:rPr>
      </w:pPr>
      <w:r w:rsidRPr="00081E27">
        <w:rPr>
          <w:rFonts w:ascii="Arial" w:hAnsi="Arial" w:cs="Arial"/>
        </w:rPr>
        <w:t xml:space="preserve">The Inquiry will be overseen and directed by the Commission Steering Group comprising, an independent Chair, representatives of LGA, NHS Confederation and others to be determined – possibly NHSCC, NHS Providers, ADASS, National Voices, reps of ASC providers. </w:t>
      </w:r>
    </w:p>
    <w:p w14:paraId="51DA6CE6" w14:textId="77777777" w:rsidR="00081E27" w:rsidRDefault="00081E27" w:rsidP="00081E27">
      <w:pPr>
        <w:pStyle w:val="ListParagraph"/>
        <w:spacing w:after="160" w:line="259" w:lineRule="auto"/>
        <w:ind w:left="715"/>
        <w:contextualSpacing/>
        <w:rPr>
          <w:rFonts w:ascii="Arial" w:hAnsi="Arial" w:cs="Arial"/>
        </w:rPr>
      </w:pPr>
    </w:p>
    <w:p w14:paraId="577BC8AF" w14:textId="6B3F080F" w:rsidR="00081E27" w:rsidRPr="00081E27" w:rsidRDefault="00216626" w:rsidP="00081E27">
      <w:pPr>
        <w:pStyle w:val="ListParagraph"/>
        <w:numPr>
          <w:ilvl w:val="1"/>
          <w:numId w:val="14"/>
        </w:numPr>
        <w:spacing w:after="160" w:line="259" w:lineRule="auto"/>
        <w:ind w:left="715"/>
        <w:contextualSpacing/>
        <w:rPr>
          <w:rFonts w:ascii="Arial" w:hAnsi="Arial" w:cs="Arial"/>
        </w:rPr>
      </w:pPr>
      <w:r w:rsidRPr="00081E27">
        <w:rPr>
          <w:rFonts w:ascii="Arial" w:hAnsi="Arial" w:cs="Arial"/>
        </w:rPr>
        <w:t xml:space="preserve">The remit and direction of the Inquiry will be informed by the Health and Care Advisory Forum, a </w:t>
      </w:r>
      <w:r w:rsidR="009E437F">
        <w:rPr>
          <w:rFonts w:ascii="Arial" w:hAnsi="Arial" w:cs="Arial"/>
        </w:rPr>
        <w:t>proposed</w:t>
      </w:r>
      <w:r w:rsidRPr="00081E27">
        <w:rPr>
          <w:rFonts w:ascii="Arial" w:hAnsi="Arial" w:cs="Arial"/>
        </w:rPr>
        <w:t xml:space="preserve"> broad based group estab</w:t>
      </w:r>
      <w:r w:rsidR="009E437F">
        <w:rPr>
          <w:rFonts w:ascii="Arial" w:hAnsi="Arial" w:cs="Arial"/>
        </w:rPr>
        <w:t xml:space="preserve">lished by the NHS Confederation, with </w:t>
      </w:r>
      <w:r w:rsidRPr="00081E27">
        <w:rPr>
          <w:rFonts w:ascii="Arial" w:hAnsi="Arial" w:cs="Arial"/>
        </w:rPr>
        <w:t xml:space="preserve">LGA </w:t>
      </w:r>
      <w:r w:rsidR="009E437F">
        <w:rPr>
          <w:rFonts w:ascii="Arial" w:hAnsi="Arial" w:cs="Arial"/>
        </w:rPr>
        <w:t xml:space="preserve">endorsement, </w:t>
      </w:r>
      <w:r w:rsidRPr="00081E27">
        <w:rPr>
          <w:rFonts w:ascii="Arial" w:hAnsi="Arial" w:cs="Arial"/>
        </w:rPr>
        <w:t xml:space="preserve">comprising national stakeholders in health, local government and social care. The membership of the Advisory </w:t>
      </w:r>
      <w:r w:rsidR="009E437F">
        <w:rPr>
          <w:rFonts w:ascii="Arial" w:hAnsi="Arial" w:cs="Arial"/>
        </w:rPr>
        <w:t>Forum is yet</w:t>
      </w:r>
      <w:r w:rsidRPr="00081E27">
        <w:rPr>
          <w:rFonts w:ascii="Arial" w:hAnsi="Arial" w:cs="Arial"/>
        </w:rPr>
        <w:t xml:space="preserve"> to be determined.</w:t>
      </w:r>
    </w:p>
    <w:p w14:paraId="3BFE8A4D" w14:textId="77777777" w:rsidR="00081E27" w:rsidRPr="00081E27" w:rsidRDefault="00081E27" w:rsidP="00081E27">
      <w:pPr>
        <w:pStyle w:val="ListParagraph"/>
        <w:spacing w:after="160" w:line="259" w:lineRule="auto"/>
        <w:ind w:left="715"/>
        <w:contextualSpacing/>
        <w:rPr>
          <w:rFonts w:ascii="Arial" w:hAnsi="Arial" w:cs="Arial"/>
        </w:rPr>
      </w:pPr>
    </w:p>
    <w:p w14:paraId="64E9FA72" w14:textId="6C250E06" w:rsidR="00FE6CA7" w:rsidRPr="00FE6CA7" w:rsidRDefault="00216626" w:rsidP="00FE6CA7">
      <w:pPr>
        <w:pStyle w:val="ListParagraph"/>
        <w:numPr>
          <w:ilvl w:val="1"/>
          <w:numId w:val="14"/>
        </w:numPr>
        <w:spacing w:after="160" w:line="259" w:lineRule="auto"/>
        <w:ind w:left="715"/>
        <w:contextualSpacing/>
        <w:rPr>
          <w:rFonts w:ascii="Arial" w:hAnsi="Arial" w:cs="Arial"/>
          <w:b/>
        </w:rPr>
      </w:pPr>
      <w:r w:rsidRPr="00FE6CA7">
        <w:rPr>
          <w:rFonts w:ascii="Arial" w:hAnsi="Arial" w:cs="Arial"/>
        </w:rPr>
        <w:t>The precise details of governance need further development and clarification and will be agreed by NHS Confed</w:t>
      </w:r>
      <w:r w:rsidR="009E437F">
        <w:rPr>
          <w:rFonts w:ascii="Arial" w:hAnsi="Arial" w:cs="Arial"/>
        </w:rPr>
        <w:t>eration</w:t>
      </w:r>
      <w:r w:rsidRPr="00FE6CA7">
        <w:rPr>
          <w:rFonts w:ascii="Arial" w:hAnsi="Arial" w:cs="Arial"/>
        </w:rPr>
        <w:t xml:space="preserve"> and LGA.</w:t>
      </w:r>
    </w:p>
    <w:p w14:paraId="65CEAB40" w14:textId="77777777" w:rsidR="00FE6CA7" w:rsidRPr="00FE6CA7" w:rsidRDefault="00FE6CA7" w:rsidP="00FE6CA7">
      <w:pPr>
        <w:pStyle w:val="ListParagraph"/>
        <w:rPr>
          <w:rFonts w:ascii="Arial" w:hAnsi="Arial" w:cs="Arial"/>
          <w:b/>
        </w:rPr>
      </w:pPr>
    </w:p>
    <w:p w14:paraId="32E5E755" w14:textId="7F39C1D9" w:rsidR="00081E27" w:rsidRDefault="00081E27" w:rsidP="00FE6CA7">
      <w:pPr>
        <w:pStyle w:val="ListParagraph"/>
        <w:numPr>
          <w:ilvl w:val="0"/>
          <w:numId w:val="14"/>
        </w:numPr>
        <w:spacing w:after="160" w:line="259" w:lineRule="auto"/>
        <w:contextualSpacing/>
        <w:rPr>
          <w:rFonts w:ascii="Arial" w:hAnsi="Arial" w:cs="Arial"/>
          <w:u w:val="single"/>
        </w:rPr>
      </w:pPr>
      <w:r w:rsidRPr="00FE6CA7">
        <w:rPr>
          <w:rFonts w:ascii="Arial" w:hAnsi="Arial" w:cs="Arial"/>
          <w:u w:val="single"/>
        </w:rPr>
        <w:t>Outline proposal</w:t>
      </w:r>
    </w:p>
    <w:p w14:paraId="0F1A03F0" w14:textId="77777777" w:rsidR="00FE6CA7" w:rsidRPr="00FE6CA7" w:rsidRDefault="00FE6CA7" w:rsidP="00FE6CA7">
      <w:pPr>
        <w:pStyle w:val="ListParagraph"/>
        <w:spacing w:after="160" w:line="259" w:lineRule="auto"/>
        <w:ind w:left="360"/>
        <w:contextualSpacing/>
        <w:rPr>
          <w:rFonts w:ascii="Arial" w:hAnsi="Arial" w:cs="Arial"/>
          <w:u w:val="single"/>
        </w:rPr>
      </w:pPr>
    </w:p>
    <w:p w14:paraId="38E877C1" w14:textId="2AD39637" w:rsidR="00081E27" w:rsidRDefault="00FE6CA7" w:rsidP="00FE6CA7">
      <w:pPr>
        <w:pStyle w:val="ListParagraph"/>
        <w:ind w:left="283"/>
        <w:rPr>
          <w:rFonts w:ascii="Arial" w:hAnsi="Arial" w:cs="Arial"/>
        </w:rPr>
      </w:pPr>
      <w:r>
        <w:rPr>
          <w:rFonts w:ascii="Arial" w:hAnsi="Arial" w:cs="Arial"/>
        </w:rPr>
        <w:t xml:space="preserve">7.1 </w:t>
      </w:r>
      <w:r w:rsidR="00081E27">
        <w:rPr>
          <w:rFonts w:ascii="Arial" w:hAnsi="Arial" w:cs="Arial"/>
        </w:rPr>
        <w:t>The key components of the joint work and activities are outlined below.</w:t>
      </w:r>
    </w:p>
    <w:p w14:paraId="506E1976" w14:textId="77777777" w:rsidR="00FE6CA7" w:rsidRDefault="00FE6CA7" w:rsidP="00081E27">
      <w:pPr>
        <w:pStyle w:val="ListParagraph"/>
        <w:ind w:left="0"/>
        <w:rPr>
          <w:rFonts w:ascii="Arial" w:hAnsi="Arial" w:cs="Arial"/>
        </w:rPr>
      </w:pPr>
    </w:p>
    <w:tbl>
      <w:tblPr>
        <w:tblStyle w:val="TableGrid"/>
        <w:tblW w:w="9356" w:type="dxa"/>
        <w:tblInd w:w="-5" w:type="dxa"/>
        <w:tblLook w:val="04A0" w:firstRow="1" w:lastRow="0" w:firstColumn="1" w:lastColumn="0" w:noHBand="0" w:noVBand="1"/>
      </w:tblPr>
      <w:tblGrid>
        <w:gridCol w:w="5618"/>
        <w:gridCol w:w="828"/>
        <w:gridCol w:w="828"/>
        <w:gridCol w:w="2082"/>
      </w:tblGrid>
      <w:tr w:rsidR="00081E27" w14:paraId="11CE69F2" w14:textId="77777777" w:rsidTr="00081E27">
        <w:tc>
          <w:tcPr>
            <w:tcW w:w="5812" w:type="dxa"/>
          </w:tcPr>
          <w:p w14:paraId="4946F2B7" w14:textId="77777777" w:rsidR="00081E27" w:rsidRPr="00FE6CA7" w:rsidRDefault="00081E27" w:rsidP="00081E27">
            <w:pPr>
              <w:pStyle w:val="ListParagraph"/>
              <w:ind w:left="0"/>
              <w:rPr>
                <w:rFonts w:ascii="Arial" w:hAnsi="Arial" w:cs="Arial"/>
                <w:b/>
                <w:sz w:val="22"/>
                <w:szCs w:val="22"/>
              </w:rPr>
            </w:pPr>
            <w:r w:rsidRPr="00FE6CA7">
              <w:rPr>
                <w:rFonts w:ascii="Arial" w:hAnsi="Arial" w:cs="Arial"/>
                <w:b/>
                <w:sz w:val="22"/>
                <w:szCs w:val="22"/>
              </w:rPr>
              <w:t>Key component/activity</w:t>
            </w:r>
          </w:p>
        </w:tc>
        <w:tc>
          <w:tcPr>
            <w:tcW w:w="709" w:type="dxa"/>
          </w:tcPr>
          <w:p w14:paraId="41DA3AE2" w14:textId="77777777" w:rsidR="00081E27" w:rsidRPr="00FE6CA7" w:rsidRDefault="00081E27" w:rsidP="00081E27">
            <w:pPr>
              <w:pStyle w:val="ListParagraph"/>
              <w:ind w:left="0"/>
              <w:rPr>
                <w:rFonts w:ascii="Arial" w:hAnsi="Arial" w:cs="Arial"/>
                <w:b/>
                <w:sz w:val="22"/>
                <w:szCs w:val="22"/>
              </w:rPr>
            </w:pPr>
            <w:r w:rsidRPr="00FE6CA7">
              <w:rPr>
                <w:rFonts w:ascii="Arial" w:hAnsi="Arial" w:cs="Arial"/>
                <w:b/>
                <w:sz w:val="22"/>
                <w:szCs w:val="22"/>
              </w:rPr>
              <w:t>Start by</w:t>
            </w:r>
          </w:p>
        </w:tc>
        <w:tc>
          <w:tcPr>
            <w:tcW w:w="709" w:type="dxa"/>
          </w:tcPr>
          <w:p w14:paraId="6C11D939" w14:textId="77777777" w:rsidR="00081E27" w:rsidRPr="00FE6CA7" w:rsidRDefault="00081E27" w:rsidP="00081E27">
            <w:pPr>
              <w:pStyle w:val="ListParagraph"/>
              <w:ind w:left="0"/>
              <w:rPr>
                <w:rFonts w:ascii="Arial" w:hAnsi="Arial" w:cs="Arial"/>
                <w:b/>
                <w:sz w:val="22"/>
                <w:szCs w:val="22"/>
              </w:rPr>
            </w:pPr>
            <w:r w:rsidRPr="00FE6CA7">
              <w:rPr>
                <w:rFonts w:ascii="Arial" w:hAnsi="Arial" w:cs="Arial"/>
                <w:b/>
                <w:sz w:val="22"/>
                <w:szCs w:val="22"/>
              </w:rPr>
              <w:t>End by</w:t>
            </w:r>
          </w:p>
        </w:tc>
        <w:tc>
          <w:tcPr>
            <w:tcW w:w="2126" w:type="dxa"/>
          </w:tcPr>
          <w:p w14:paraId="03C759D8" w14:textId="77777777" w:rsidR="00081E27" w:rsidRPr="00FE6CA7" w:rsidRDefault="00081E27" w:rsidP="00081E27">
            <w:pPr>
              <w:pStyle w:val="ListParagraph"/>
              <w:ind w:left="0"/>
              <w:rPr>
                <w:rFonts w:ascii="Arial" w:hAnsi="Arial" w:cs="Arial"/>
                <w:b/>
                <w:sz w:val="22"/>
                <w:szCs w:val="22"/>
              </w:rPr>
            </w:pPr>
            <w:r w:rsidRPr="00FE6CA7">
              <w:rPr>
                <w:rFonts w:ascii="Arial" w:hAnsi="Arial" w:cs="Arial"/>
                <w:b/>
                <w:sz w:val="22"/>
                <w:szCs w:val="22"/>
              </w:rPr>
              <w:t>Resources</w:t>
            </w:r>
          </w:p>
        </w:tc>
      </w:tr>
      <w:tr w:rsidR="00081E27" w14:paraId="27816F4E" w14:textId="77777777" w:rsidTr="00081E27">
        <w:tc>
          <w:tcPr>
            <w:tcW w:w="5812" w:type="dxa"/>
          </w:tcPr>
          <w:p w14:paraId="36C31E6A"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Creation of a joint LGA and NHS Commission/Steering Group, chaired by an independent figurehead to steer and lead the Commission</w:t>
            </w:r>
          </w:p>
        </w:tc>
        <w:tc>
          <w:tcPr>
            <w:tcW w:w="709" w:type="dxa"/>
          </w:tcPr>
          <w:p w14:paraId="76729681" w14:textId="44ADC9A7" w:rsidR="00081E27" w:rsidRPr="00FE6CA7" w:rsidRDefault="009B5484" w:rsidP="00081E27">
            <w:pPr>
              <w:pStyle w:val="ListParagraph"/>
              <w:ind w:left="0"/>
              <w:rPr>
                <w:rFonts w:ascii="Arial" w:hAnsi="Arial" w:cs="Arial"/>
                <w:sz w:val="22"/>
                <w:szCs w:val="22"/>
              </w:rPr>
            </w:pPr>
            <w:r>
              <w:rPr>
                <w:rFonts w:ascii="Arial" w:hAnsi="Arial" w:cs="Arial"/>
                <w:sz w:val="22"/>
                <w:szCs w:val="22"/>
              </w:rPr>
              <w:t xml:space="preserve">April </w:t>
            </w:r>
            <w:r w:rsidR="00081E27" w:rsidRPr="00FE6CA7">
              <w:rPr>
                <w:rFonts w:ascii="Arial" w:hAnsi="Arial" w:cs="Arial"/>
                <w:sz w:val="22"/>
                <w:szCs w:val="22"/>
              </w:rPr>
              <w:t>17</w:t>
            </w:r>
          </w:p>
        </w:tc>
        <w:tc>
          <w:tcPr>
            <w:tcW w:w="709" w:type="dxa"/>
          </w:tcPr>
          <w:p w14:paraId="2504D670" w14:textId="7E99F2EF" w:rsidR="00081E27" w:rsidRPr="00FE6CA7" w:rsidRDefault="009B5484" w:rsidP="00081E27">
            <w:pPr>
              <w:pStyle w:val="ListParagraph"/>
              <w:ind w:left="0"/>
              <w:rPr>
                <w:rFonts w:ascii="Arial" w:hAnsi="Arial" w:cs="Arial"/>
                <w:sz w:val="22"/>
                <w:szCs w:val="22"/>
              </w:rPr>
            </w:pPr>
            <w:r>
              <w:rPr>
                <w:rFonts w:ascii="Arial" w:hAnsi="Arial" w:cs="Arial"/>
                <w:sz w:val="22"/>
                <w:szCs w:val="22"/>
              </w:rPr>
              <w:t xml:space="preserve">May </w:t>
            </w:r>
            <w:r w:rsidR="00081E27" w:rsidRPr="00FE6CA7">
              <w:rPr>
                <w:rFonts w:ascii="Arial" w:hAnsi="Arial" w:cs="Arial"/>
                <w:sz w:val="22"/>
                <w:szCs w:val="22"/>
              </w:rPr>
              <w:t>17</w:t>
            </w:r>
          </w:p>
        </w:tc>
        <w:tc>
          <w:tcPr>
            <w:tcW w:w="2126" w:type="dxa"/>
          </w:tcPr>
          <w:p w14:paraId="45A35F07"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 xml:space="preserve">Existing LGA officer to lead </w:t>
            </w:r>
          </w:p>
        </w:tc>
      </w:tr>
      <w:tr w:rsidR="00081E27" w14:paraId="53BC0236" w14:textId="77777777" w:rsidTr="00081E27">
        <w:tc>
          <w:tcPr>
            <w:tcW w:w="5812" w:type="dxa"/>
          </w:tcPr>
          <w:p w14:paraId="2B97BC0F"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Agree resources and roles to support the project</w:t>
            </w:r>
          </w:p>
        </w:tc>
        <w:tc>
          <w:tcPr>
            <w:tcW w:w="709" w:type="dxa"/>
          </w:tcPr>
          <w:p w14:paraId="7716522E"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April 17</w:t>
            </w:r>
          </w:p>
        </w:tc>
        <w:tc>
          <w:tcPr>
            <w:tcW w:w="709" w:type="dxa"/>
          </w:tcPr>
          <w:p w14:paraId="2E5B9A89"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May 17</w:t>
            </w:r>
          </w:p>
        </w:tc>
        <w:tc>
          <w:tcPr>
            <w:tcW w:w="2126" w:type="dxa"/>
          </w:tcPr>
          <w:p w14:paraId="0B443BEF"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LGA and NHS to agree budget and identify resources</w:t>
            </w:r>
          </w:p>
        </w:tc>
      </w:tr>
      <w:tr w:rsidR="00081E27" w14:paraId="7EFEB980" w14:textId="77777777" w:rsidTr="00081E27">
        <w:tc>
          <w:tcPr>
            <w:tcW w:w="5812" w:type="dxa"/>
          </w:tcPr>
          <w:p w14:paraId="6EADA8E8"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Draft remit of Inquiry/Commission</w:t>
            </w:r>
          </w:p>
        </w:tc>
        <w:tc>
          <w:tcPr>
            <w:tcW w:w="709" w:type="dxa"/>
          </w:tcPr>
          <w:p w14:paraId="1735BD93"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May 17</w:t>
            </w:r>
          </w:p>
        </w:tc>
        <w:tc>
          <w:tcPr>
            <w:tcW w:w="709" w:type="dxa"/>
          </w:tcPr>
          <w:p w14:paraId="03B67C75"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June</w:t>
            </w:r>
          </w:p>
          <w:p w14:paraId="0AD155FF"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 xml:space="preserve">17 </w:t>
            </w:r>
          </w:p>
        </w:tc>
        <w:tc>
          <w:tcPr>
            <w:tcW w:w="2126" w:type="dxa"/>
          </w:tcPr>
          <w:p w14:paraId="1BDCC1AD"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LGA and Confed</w:t>
            </w:r>
          </w:p>
        </w:tc>
      </w:tr>
      <w:tr w:rsidR="00081E27" w14:paraId="5A912AD1" w14:textId="77777777" w:rsidTr="00081E27">
        <w:tc>
          <w:tcPr>
            <w:tcW w:w="5812" w:type="dxa"/>
          </w:tcPr>
          <w:p w14:paraId="0D1F516C"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Advisory group input/discussion</w:t>
            </w:r>
          </w:p>
        </w:tc>
        <w:tc>
          <w:tcPr>
            <w:tcW w:w="709" w:type="dxa"/>
          </w:tcPr>
          <w:p w14:paraId="058361B2"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June 2017</w:t>
            </w:r>
          </w:p>
        </w:tc>
        <w:tc>
          <w:tcPr>
            <w:tcW w:w="709" w:type="dxa"/>
          </w:tcPr>
          <w:p w14:paraId="1C47ABC1"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July 2017</w:t>
            </w:r>
          </w:p>
        </w:tc>
        <w:tc>
          <w:tcPr>
            <w:tcW w:w="2126" w:type="dxa"/>
          </w:tcPr>
          <w:p w14:paraId="0494C689"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Confed to lead</w:t>
            </w:r>
          </w:p>
        </w:tc>
      </w:tr>
      <w:tr w:rsidR="00081E27" w14:paraId="725C2FF5" w14:textId="77777777" w:rsidTr="00081E27">
        <w:tc>
          <w:tcPr>
            <w:tcW w:w="5812" w:type="dxa"/>
          </w:tcPr>
          <w:p w14:paraId="0E2484D9"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Commission Steering group to agree final remit of inquiry</w:t>
            </w:r>
          </w:p>
          <w:p w14:paraId="2A09220B" w14:textId="77777777" w:rsidR="00081E27" w:rsidRPr="00FE6CA7" w:rsidRDefault="00081E27" w:rsidP="00081E27">
            <w:pPr>
              <w:pStyle w:val="ListParagraph"/>
              <w:ind w:left="0"/>
              <w:rPr>
                <w:rFonts w:ascii="Arial" w:hAnsi="Arial" w:cs="Arial"/>
                <w:sz w:val="22"/>
                <w:szCs w:val="22"/>
              </w:rPr>
            </w:pPr>
          </w:p>
        </w:tc>
        <w:tc>
          <w:tcPr>
            <w:tcW w:w="709" w:type="dxa"/>
          </w:tcPr>
          <w:p w14:paraId="3B6BD617"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July  17</w:t>
            </w:r>
          </w:p>
        </w:tc>
        <w:tc>
          <w:tcPr>
            <w:tcW w:w="709" w:type="dxa"/>
          </w:tcPr>
          <w:p w14:paraId="3300FEE2"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July</w:t>
            </w:r>
          </w:p>
          <w:p w14:paraId="483EE55D"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17</w:t>
            </w:r>
          </w:p>
        </w:tc>
        <w:tc>
          <w:tcPr>
            <w:tcW w:w="2126" w:type="dxa"/>
          </w:tcPr>
          <w:p w14:paraId="2FF202A5"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LGA to lead</w:t>
            </w:r>
          </w:p>
        </w:tc>
      </w:tr>
      <w:tr w:rsidR="00081E27" w14:paraId="1CE2D266" w14:textId="77777777" w:rsidTr="00081E27">
        <w:tc>
          <w:tcPr>
            <w:tcW w:w="5812" w:type="dxa"/>
          </w:tcPr>
          <w:p w14:paraId="55A8B6CC" w14:textId="77777777" w:rsidR="00081E27" w:rsidRPr="00FE6CA7" w:rsidRDefault="00081E27" w:rsidP="00081E27">
            <w:pPr>
              <w:rPr>
                <w:rFonts w:ascii="Arial" w:hAnsi="Arial" w:cs="Arial"/>
                <w:sz w:val="22"/>
                <w:szCs w:val="22"/>
              </w:rPr>
            </w:pPr>
            <w:r w:rsidRPr="00FE6CA7">
              <w:rPr>
                <w:rFonts w:ascii="Arial" w:hAnsi="Arial" w:cs="Arial"/>
                <w:sz w:val="22"/>
                <w:szCs w:val="22"/>
              </w:rPr>
              <w:t>Promote Commission at NHS Confed and LGA Annual conferences</w:t>
            </w:r>
          </w:p>
        </w:tc>
        <w:tc>
          <w:tcPr>
            <w:tcW w:w="709" w:type="dxa"/>
          </w:tcPr>
          <w:p w14:paraId="4479A66C" w14:textId="77777777" w:rsidR="00081E27" w:rsidRPr="00FE6CA7" w:rsidRDefault="00081E27" w:rsidP="00081E27">
            <w:pPr>
              <w:rPr>
                <w:rFonts w:ascii="Arial" w:hAnsi="Arial" w:cs="Arial"/>
                <w:sz w:val="22"/>
                <w:szCs w:val="22"/>
              </w:rPr>
            </w:pPr>
            <w:r w:rsidRPr="00FE6CA7">
              <w:rPr>
                <w:rFonts w:ascii="Arial" w:hAnsi="Arial" w:cs="Arial"/>
                <w:sz w:val="22"/>
                <w:szCs w:val="22"/>
              </w:rPr>
              <w:t>June 17</w:t>
            </w:r>
          </w:p>
        </w:tc>
        <w:tc>
          <w:tcPr>
            <w:tcW w:w="709" w:type="dxa"/>
          </w:tcPr>
          <w:p w14:paraId="09F24FCF" w14:textId="77777777" w:rsidR="00081E27" w:rsidRPr="00FE6CA7" w:rsidRDefault="00081E27" w:rsidP="00081E27">
            <w:pPr>
              <w:rPr>
                <w:rFonts w:ascii="Arial" w:hAnsi="Arial" w:cs="Arial"/>
                <w:sz w:val="22"/>
                <w:szCs w:val="22"/>
              </w:rPr>
            </w:pPr>
            <w:r w:rsidRPr="00FE6CA7">
              <w:rPr>
                <w:rFonts w:ascii="Arial" w:hAnsi="Arial" w:cs="Arial"/>
                <w:sz w:val="22"/>
                <w:szCs w:val="22"/>
              </w:rPr>
              <w:t>July 17</w:t>
            </w:r>
          </w:p>
        </w:tc>
        <w:tc>
          <w:tcPr>
            <w:tcW w:w="2126" w:type="dxa"/>
          </w:tcPr>
          <w:p w14:paraId="2FEC721F" w14:textId="77777777" w:rsidR="00081E27" w:rsidRPr="00FE6CA7" w:rsidRDefault="00081E27" w:rsidP="00081E27">
            <w:pPr>
              <w:rPr>
                <w:rFonts w:ascii="Arial" w:hAnsi="Arial" w:cs="Arial"/>
                <w:sz w:val="22"/>
                <w:szCs w:val="22"/>
              </w:rPr>
            </w:pPr>
            <w:r w:rsidRPr="00FE6CA7">
              <w:rPr>
                <w:rFonts w:ascii="Arial" w:hAnsi="Arial" w:cs="Arial"/>
                <w:sz w:val="22"/>
                <w:szCs w:val="22"/>
              </w:rPr>
              <w:t>LGA and Confed</w:t>
            </w:r>
          </w:p>
        </w:tc>
      </w:tr>
      <w:tr w:rsidR="00081E27" w14:paraId="1742894C" w14:textId="77777777" w:rsidTr="00081E27">
        <w:tc>
          <w:tcPr>
            <w:tcW w:w="5812" w:type="dxa"/>
          </w:tcPr>
          <w:p w14:paraId="44AE634E"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Call for evidence</w:t>
            </w:r>
          </w:p>
        </w:tc>
        <w:tc>
          <w:tcPr>
            <w:tcW w:w="709" w:type="dxa"/>
          </w:tcPr>
          <w:p w14:paraId="71246F6A"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 xml:space="preserve">Aug </w:t>
            </w:r>
          </w:p>
        </w:tc>
        <w:tc>
          <w:tcPr>
            <w:tcW w:w="709" w:type="dxa"/>
          </w:tcPr>
          <w:p w14:paraId="1DD32BAC"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Oct</w:t>
            </w:r>
          </w:p>
        </w:tc>
        <w:tc>
          <w:tcPr>
            <w:tcW w:w="2126" w:type="dxa"/>
          </w:tcPr>
          <w:p w14:paraId="493F2A32"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LGA</w:t>
            </w:r>
          </w:p>
        </w:tc>
      </w:tr>
      <w:tr w:rsidR="00081E27" w14:paraId="0843CFBB" w14:textId="77777777" w:rsidTr="00081E27">
        <w:tc>
          <w:tcPr>
            <w:tcW w:w="5812" w:type="dxa"/>
          </w:tcPr>
          <w:p w14:paraId="6E99E6DF"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Interviews with key stakeholders</w:t>
            </w:r>
          </w:p>
        </w:tc>
        <w:tc>
          <w:tcPr>
            <w:tcW w:w="709" w:type="dxa"/>
          </w:tcPr>
          <w:p w14:paraId="213AF70B"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 xml:space="preserve">Aug </w:t>
            </w:r>
          </w:p>
        </w:tc>
        <w:tc>
          <w:tcPr>
            <w:tcW w:w="709" w:type="dxa"/>
          </w:tcPr>
          <w:p w14:paraId="6E24288D"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Oct</w:t>
            </w:r>
          </w:p>
        </w:tc>
        <w:tc>
          <w:tcPr>
            <w:tcW w:w="2126" w:type="dxa"/>
          </w:tcPr>
          <w:p w14:paraId="7C3494F7"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 xml:space="preserve">Additional resources for </w:t>
            </w:r>
            <w:r w:rsidRPr="00FE6CA7">
              <w:rPr>
                <w:rFonts w:ascii="Arial" w:hAnsi="Arial" w:cs="Arial"/>
                <w:sz w:val="22"/>
                <w:szCs w:val="22"/>
              </w:rPr>
              <w:lastRenderedPageBreak/>
              <w:t>interviews and write up</w:t>
            </w:r>
          </w:p>
        </w:tc>
      </w:tr>
      <w:tr w:rsidR="00081E27" w14:paraId="4E8DA25E" w14:textId="77777777" w:rsidTr="00081E27">
        <w:tc>
          <w:tcPr>
            <w:tcW w:w="5812" w:type="dxa"/>
          </w:tcPr>
          <w:p w14:paraId="2C84E01F"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lastRenderedPageBreak/>
              <w:t>Analysis of information</w:t>
            </w:r>
          </w:p>
        </w:tc>
        <w:tc>
          <w:tcPr>
            <w:tcW w:w="709" w:type="dxa"/>
          </w:tcPr>
          <w:p w14:paraId="0096DF08"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Oct</w:t>
            </w:r>
          </w:p>
        </w:tc>
        <w:tc>
          <w:tcPr>
            <w:tcW w:w="709" w:type="dxa"/>
          </w:tcPr>
          <w:p w14:paraId="36F6DA3F"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Oct</w:t>
            </w:r>
          </w:p>
        </w:tc>
        <w:tc>
          <w:tcPr>
            <w:tcW w:w="2126" w:type="dxa"/>
          </w:tcPr>
          <w:p w14:paraId="371F8066"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Additional resources required</w:t>
            </w:r>
          </w:p>
        </w:tc>
      </w:tr>
      <w:tr w:rsidR="00081E27" w14:paraId="7BF61AA9" w14:textId="77777777" w:rsidTr="00081E27">
        <w:tc>
          <w:tcPr>
            <w:tcW w:w="5812" w:type="dxa"/>
          </w:tcPr>
          <w:p w14:paraId="2A9ADDC5"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Roundtables x 3 (one for each question) to discuss initial findings</w:t>
            </w:r>
          </w:p>
        </w:tc>
        <w:tc>
          <w:tcPr>
            <w:tcW w:w="709" w:type="dxa"/>
          </w:tcPr>
          <w:p w14:paraId="123A9E71"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 xml:space="preserve">Oct </w:t>
            </w:r>
          </w:p>
        </w:tc>
        <w:tc>
          <w:tcPr>
            <w:tcW w:w="709" w:type="dxa"/>
          </w:tcPr>
          <w:p w14:paraId="6DDD20A7"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Nov</w:t>
            </w:r>
          </w:p>
        </w:tc>
        <w:tc>
          <w:tcPr>
            <w:tcW w:w="2126" w:type="dxa"/>
          </w:tcPr>
          <w:p w14:paraId="573A8B12"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Additional resources to organise</w:t>
            </w:r>
          </w:p>
        </w:tc>
      </w:tr>
      <w:tr w:rsidR="00081E27" w14:paraId="6583AB1F" w14:textId="77777777" w:rsidTr="00081E27">
        <w:tc>
          <w:tcPr>
            <w:tcW w:w="5812" w:type="dxa"/>
          </w:tcPr>
          <w:p w14:paraId="2B69BF87"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Advisory group input to findings and recommendations</w:t>
            </w:r>
          </w:p>
        </w:tc>
        <w:tc>
          <w:tcPr>
            <w:tcW w:w="709" w:type="dxa"/>
          </w:tcPr>
          <w:p w14:paraId="12E57AE2"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 xml:space="preserve">Oct </w:t>
            </w:r>
          </w:p>
        </w:tc>
        <w:tc>
          <w:tcPr>
            <w:tcW w:w="709" w:type="dxa"/>
          </w:tcPr>
          <w:p w14:paraId="08A7E59B"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Nov</w:t>
            </w:r>
          </w:p>
        </w:tc>
        <w:tc>
          <w:tcPr>
            <w:tcW w:w="2126" w:type="dxa"/>
          </w:tcPr>
          <w:p w14:paraId="2C2012F2"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Confed to lead</w:t>
            </w:r>
          </w:p>
        </w:tc>
      </w:tr>
      <w:tr w:rsidR="00081E27" w14:paraId="4797C178" w14:textId="77777777" w:rsidTr="00081E27">
        <w:tc>
          <w:tcPr>
            <w:tcW w:w="5812" w:type="dxa"/>
          </w:tcPr>
          <w:p w14:paraId="0748C2F8"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Write up initial findings and recommendations</w:t>
            </w:r>
          </w:p>
        </w:tc>
        <w:tc>
          <w:tcPr>
            <w:tcW w:w="709" w:type="dxa"/>
          </w:tcPr>
          <w:p w14:paraId="0D6C5D7E"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Nov</w:t>
            </w:r>
          </w:p>
        </w:tc>
        <w:tc>
          <w:tcPr>
            <w:tcW w:w="709" w:type="dxa"/>
          </w:tcPr>
          <w:p w14:paraId="114B637F"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Dec</w:t>
            </w:r>
          </w:p>
        </w:tc>
        <w:tc>
          <w:tcPr>
            <w:tcW w:w="2126" w:type="dxa"/>
          </w:tcPr>
          <w:p w14:paraId="1434C5DF"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Additional resources required</w:t>
            </w:r>
          </w:p>
        </w:tc>
      </w:tr>
      <w:tr w:rsidR="00081E27" w14:paraId="6D7DF145" w14:textId="77777777" w:rsidTr="00081E27">
        <w:tc>
          <w:tcPr>
            <w:tcW w:w="5812" w:type="dxa"/>
          </w:tcPr>
          <w:p w14:paraId="23E6010C"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Commission Steering Group to agree final recommendations</w:t>
            </w:r>
          </w:p>
        </w:tc>
        <w:tc>
          <w:tcPr>
            <w:tcW w:w="709" w:type="dxa"/>
          </w:tcPr>
          <w:p w14:paraId="49C2E4C7"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Jan 18</w:t>
            </w:r>
          </w:p>
        </w:tc>
        <w:tc>
          <w:tcPr>
            <w:tcW w:w="709" w:type="dxa"/>
          </w:tcPr>
          <w:p w14:paraId="54CF81B4" w14:textId="77777777" w:rsidR="00081E27" w:rsidRPr="00FE6CA7" w:rsidRDefault="00081E27" w:rsidP="00081E27">
            <w:pPr>
              <w:pStyle w:val="ListParagraph"/>
              <w:ind w:left="0"/>
              <w:rPr>
                <w:rFonts w:ascii="Arial" w:hAnsi="Arial" w:cs="Arial"/>
                <w:sz w:val="22"/>
                <w:szCs w:val="22"/>
              </w:rPr>
            </w:pPr>
          </w:p>
        </w:tc>
        <w:tc>
          <w:tcPr>
            <w:tcW w:w="2126" w:type="dxa"/>
          </w:tcPr>
          <w:p w14:paraId="37AFC74F"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LGA to lead</w:t>
            </w:r>
          </w:p>
        </w:tc>
      </w:tr>
      <w:tr w:rsidR="00081E27" w14:paraId="0615ADDD" w14:textId="77777777" w:rsidTr="00081E27">
        <w:tc>
          <w:tcPr>
            <w:tcW w:w="5812" w:type="dxa"/>
          </w:tcPr>
          <w:p w14:paraId="139DE086"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Write up of final report</w:t>
            </w:r>
          </w:p>
        </w:tc>
        <w:tc>
          <w:tcPr>
            <w:tcW w:w="709" w:type="dxa"/>
          </w:tcPr>
          <w:p w14:paraId="2ABB4348"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Jan 18</w:t>
            </w:r>
          </w:p>
        </w:tc>
        <w:tc>
          <w:tcPr>
            <w:tcW w:w="709" w:type="dxa"/>
          </w:tcPr>
          <w:p w14:paraId="6D10E962" w14:textId="77777777" w:rsidR="00081E27" w:rsidRPr="00FE6CA7" w:rsidRDefault="00081E27" w:rsidP="00081E27">
            <w:pPr>
              <w:pStyle w:val="ListParagraph"/>
              <w:ind w:left="0"/>
              <w:rPr>
                <w:rFonts w:ascii="Arial" w:hAnsi="Arial" w:cs="Arial"/>
                <w:sz w:val="22"/>
                <w:szCs w:val="22"/>
              </w:rPr>
            </w:pPr>
          </w:p>
        </w:tc>
        <w:tc>
          <w:tcPr>
            <w:tcW w:w="2126" w:type="dxa"/>
          </w:tcPr>
          <w:p w14:paraId="3CD658B3"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Additional resources</w:t>
            </w:r>
          </w:p>
        </w:tc>
      </w:tr>
      <w:tr w:rsidR="00081E27" w14:paraId="414BFB4D" w14:textId="77777777" w:rsidTr="00081E27">
        <w:tc>
          <w:tcPr>
            <w:tcW w:w="5812" w:type="dxa"/>
          </w:tcPr>
          <w:p w14:paraId="08BB9ACE"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Agree joint communications strategy</w:t>
            </w:r>
          </w:p>
        </w:tc>
        <w:tc>
          <w:tcPr>
            <w:tcW w:w="709" w:type="dxa"/>
          </w:tcPr>
          <w:p w14:paraId="202E880F"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Jan</w:t>
            </w:r>
          </w:p>
        </w:tc>
        <w:tc>
          <w:tcPr>
            <w:tcW w:w="709" w:type="dxa"/>
          </w:tcPr>
          <w:p w14:paraId="34267C45" w14:textId="77777777" w:rsidR="00081E27" w:rsidRPr="00FE6CA7" w:rsidRDefault="00081E27" w:rsidP="00081E27">
            <w:pPr>
              <w:pStyle w:val="ListParagraph"/>
              <w:ind w:left="0"/>
              <w:rPr>
                <w:rFonts w:ascii="Arial" w:hAnsi="Arial" w:cs="Arial"/>
                <w:sz w:val="22"/>
                <w:szCs w:val="22"/>
              </w:rPr>
            </w:pPr>
          </w:p>
        </w:tc>
        <w:tc>
          <w:tcPr>
            <w:tcW w:w="2126" w:type="dxa"/>
          </w:tcPr>
          <w:p w14:paraId="437A2E38"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LGA and Confed</w:t>
            </w:r>
          </w:p>
        </w:tc>
      </w:tr>
      <w:tr w:rsidR="00081E27" w14:paraId="5CE45CA0" w14:textId="77777777" w:rsidTr="00081E27">
        <w:tc>
          <w:tcPr>
            <w:tcW w:w="5812" w:type="dxa"/>
          </w:tcPr>
          <w:p w14:paraId="1AF49476"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Joint launch of final report</w:t>
            </w:r>
          </w:p>
        </w:tc>
        <w:tc>
          <w:tcPr>
            <w:tcW w:w="709" w:type="dxa"/>
          </w:tcPr>
          <w:p w14:paraId="33F04464"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 xml:space="preserve">Feb </w:t>
            </w:r>
          </w:p>
        </w:tc>
        <w:tc>
          <w:tcPr>
            <w:tcW w:w="709" w:type="dxa"/>
          </w:tcPr>
          <w:p w14:paraId="237C7BC8"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March</w:t>
            </w:r>
          </w:p>
        </w:tc>
        <w:tc>
          <w:tcPr>
            <w:tcW w:w="2126" w:type="dxa"/>
          </w:tcPr>
          <w:p w14:paraId="79A57E1F"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LGA and Confed</w:t>
            </w:r>
          </w:p>
        </w:tc>
      </w:tr>
      <w:tr w:rsidR="00081E27" w14:paraId="6529EE10" w14:textId="77777777" w:rsidTr="00081E27">
        <w:tc>
          <w:tcPr>
            <w:tcW w:w="5812" w:type="dxa"/>
          </w:tcPr>
          <w:p w14:paraId="3FC25F96"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 xml:space="preserve">Commission Steering Group to evaluate impact of work and discuss need for future work </w:t>
            </w:r>
          </w:p>
        </w:tc>
        <w:tc>
          <w:tcPr>
            <w:tcW w:w="709" w:type="dxa"/>
          </w:tcPr>
          <w:p w14:paraId="1ED9C1D4"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March</w:t>
            </w:r>
          </w:p>
        </w:tc>
        <w:tc>
          <w:tcPr>
            <w:tcW w:w="709" w:type="dxa"/>
          </w:tcPr>
          <w:p w14:paraId="22EDAEAB" w14:textId="77777777" w:rsidR="00081E27" w:rsidRPr="00FE6CA7" w:rsidRDefault="00081E27" w:rsidP="00081E27">
            <w:pPr>
              <w:pStyle w:val="ListParagraph"/>
              <w:ind w:left="0"/>
              <w:rPr>
                <w:rFonts w:ascii="Arial" w:hAnsi="Arial" w:cs="Arial"/>
                <w:sz w:val="22"/>
                <w:szCs w:val="22"/>
              </w:rPr>
            </w:pPr>
          </w:p>
        </w:tc>
        <w:tc>
          <w:tcPr>
            <w:tcW w:w="2126" w:type="dxa"/>
          </w:tcPr>
          <w:p w14:paraId="1352A8FF"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LGA and Confed</w:t>
            </w:r>
          </w:p>
        </w:tc>
      </w:tr>
      <w:tr w:rsidR="00081E27" w14:paraId="7A2248E7" w14:textId="77777777" w:rsidTr="00081E27">
        <w:tc>
          <w:tcPr>
            <w:tcW w:w="5812" w:type="dxa"/>
          </w:tcPr>
          <w:p w14:paraId="149EDB32"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Advisory group discussion of future work</w:t>
            </w:r>
          </w:p>
        </w:tc>
        <w:tc>
          <w:tcPr>
            <w:tcW w:w="709" w:type="dxa"/>
          </w:tcPr>
          <w:p w14:paraId="2D4BB88D"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 xml:space="preserve">April </w:t>
            </w:r>
          </w:p>
        </w:tc>
        <w:tc>
          <w:tcPr>
            <w:tcW w:w="709" w:type="dxa"/>
          </w:tcPr>
          <w:p w14:paraId="4CF3B337" w14:textId="77777777" w:rsidR="00081E27" w:rsidRPr="00FE6CA7" w:rsidRDefault="00081E27" w:rsidP="00081E27">
            <w:pPr>
              <w:pStyle w:val="ListParagraph"/>
              <w:ind w:left="0"/>
              <w:rPr>
                <w:rFonts w:ascii="Arial" w:hAnsi="Arial" w:cs="Arial"/>
                <w:sz w:val="22"/>
                <w:szCs w:val="22"/>
              </w:rPr>
            </w:pPr>
          </w:p>
        </w:tc>
        <w:tc>
          <w:tcPr>
            <w:tcW w:w="2126" w:type="dxa"/>
          </w:tcPr>
          <w:p w14:paraId="3C2F3573" w14:textId="77777777" w:rsidR="00081E27" w:rsidRPr="00FE6CA7" w:rsidRDefault="00081E27" w:rsidP="00081E27">
            <w:pPr>
              <w:pStyle w:val="ListParagraph"/>
              <w:ind w:left="0"/>
              <w:rPr>
                <w:rFonts w:ascii="Arial" w:hAnsi="Arial" w:cs="Arial"/>
                <w:sz w:val="22"/>
                <w:szCs w:val="22"/>
              </w:rPr>
            </w:pPr>
            <w:r w:rsidRPr="00FE6CA7">
              <w:rPr>
                <w:rFonts w:ascii="Arial" w:hAnsi="Arial" w:cs="Arial"/>
                <w:sz w:val="22"/>
                <w:szCs w:val="22"/>
              </w:rPr>
              <w:t>Confed to lead</w:t>
            </w:r>
          </w:p>
        </w:tc>
      </w:tr>
    </w:tbl>
    <w:p w14:paraId="1053B4BD" w14:textId="77777777" w:rsidR="00081E27" w:rsidRDefault="00081E27" w:rsidP="00081E27">
      <w:pPr>
        <w:pStyle w:val="ListParagraph"/>
        <w:ind w:left="360"/>
        <w:rPr>
          <w:rFonts w:ascii="Arial" w:hAnsi="Arial" w:cs="Arial"/>
        </w:rPr>
      </w:pPr>
    </w:p>
    <w:p w14:paraId="5AE38D41" w14:textId="77777777" w:rsidR="00FE6CA7" w:rsidRPr="00FE6CA7" w:rsidRDefault="00081E27" w:rsidP="00FE6CA7">
      <w:pPr>
        <w:pStyle w:val="ListParagraph"/>
        <w:numPr>
          <w:ilvl w:val="0"/>
          <w:numId w:val="14"/>
        </w:numPr>
        <w:spacing w:after="160" w:line="259" w:lineRule="auto"/>
        <w:contextualSpacing/>
        <w:rPr>
          <w:rFonts w:ascii="Arial" w:hAnsi="Arial" w:cs="Arial"/>
        </w:rPr>
      </w:pPr>
      <w:r w:rsidRPr="00FE6CA7">
        <w:rPr>
          <w:rFonts w:ascii="Arial" w:hAnsi="Arial" w:cs="Arial"/>
          <w:u w:val="single"/>
        </w:rPr>
        <w:t>What we need to build on</w:t>
      </w:r>
      <w:r w:rsidR="00FE6CA7">
        <w:rPr>
          <w:rFonts w:ascii="Arial" w:hAnsi="Arial" w:cs="Arial"/>
          <w:u w:val="single"/>
        </w:rPr>
        <w:t>.</w:t>
      </w:r>
    </w:p>
    <w:p w14:paraId="76498302" w14:textId="66AED386" w:rsidR="00081E27" w:rsidRPr="00FE6CA7" w:rsidRDefault="00081E27" w:rsidP="00FE6CA7">
      <w:pPr>
        <w:pStyle w:val="ListParagraph"/>
        <w:spacing w:after="160" w:line="259" w:lineRule="auto"/>
        <w:ind w:left="360"/>
        <w:contextualSpacing/>
        <w:rPr>
          <w:rFonts w:ascii="Arial" w:hAnsi="Arial" w:cs="Arial"/>
        </w:rPr>
      </w:pPr>
      <w:r w:rsidRPr="00FE6CA7">
        <w:rPr>
          <w:rFonts w:ascii="Arial" w:hAnsi="Arial" w:cs="Arial"/>
        </w:rPr>
        <w:t xml:space="preserve"> </w:t>
      </w:r>
    </w:p>
    <w:p w14:paraId="7D33E772" w14:textId="77777777" w:rsidR="00081E27" w:rsidRDefault="00081E27" w:rsidP="00FE6CA7">
      <w:pPr>
        <w:pStyle w:val="ListParagraph"/>
        <w:numPr>
          <w:ilvl w:val="1"/>
          <w:numId w:val="14"/>
        </w:numPr>
        <w:ind w:left="715"/>
        <w:rPr>
          <w:rFonts w:ascii="Arial" w:hAnsi="Arial" w:cs="Arial"/>
        </w:rPr>
      </w:pPr>
      <w:r>
        <w:rPr>
          <w:rFonts w:ascii="Arial" w:hAnsi="Arial" w:cs="Arial"/>
        </w:rPr>
        <w:t>There is already a substantial body of work on various aspects of local commissioning. In addition, there is an extensive policy framework for local government and the NHS. This project will need to have regard to and build on the following:</w:t>
      </w:r>
    </w:p>
    <w:p w14:paraId="5601CD38" w14:textId="77777777" w:rsidR="00FE6CA7" w:rsidRPr="00EE7E56" w:rsidRDefault="00FE6CA7" w:rsidP="00FE6CA7">
      <w:pPr>
        <w:pStyle w:val="ListParagraph"/>
        <w:ind w:left="574"/>
        <w:rPr>
          <w:rFonts w:ascii="Arial" w:hAnsi="Arial" w:cs="Arial"/>
        </w:rPr>
      </w:pPr>
    </w:p>
    <w:p w14:paraId="7FF531C4" w14:textId="62938944" w:rsidR="00FE6CA7" w:rsidRDefault="00081E27" w:rsidP="00FE6CA7">
      <w:pPr>
        <w:pStyle w:val="ListParagraph"/>
        <w:numPr>
          <w:ilvl w:val="2"/>
          <w:numId w:val="14"/>
        </w:numPr>
        <w:spacing w:after="160" w:line="259" w:lineRule="auto"/>
        <w:ind w:left="1854" w:hanging="720"/>
        <w:contextualSpacing/>
        <w:rPr>
          <w:rFonts w:ascii="Arial" w:hAnsi="Arial" w:cs="Arial"/>
        </w:rPr>
      </w:pPr>
      <w:r w:rsidRPr="00FE6CA7">
        <w:rPr>
          <w:rFonts w:ascii="Arial" w:hAnsi="Arial" w:cs="Arial"/>
        </w:rPr>
        <w:t>The Five Year Forward View and associated guidance and policy frameworks and commissioning</w:t>
      </w:r>
      <w:r w:rsidR="00FE6CA7">
        <w:rPr>
          <w:rFonts w:ascii="Arial" w:hAnsi="Arial" w:cs="Arial"/>
        </w:rPr>
        <w:t>.</w:t>
      </w:r>
    </w:p>
    <w:p w14:paraId="2A33763A" w14:textId="77777777" w:rsidR="00FE6CA7" w:rsidRDefault="00FE6CA7" w:rsidP="00FE6CA7">
      <w:pPr>
        <w:pStyle w:val="ListParagraph"/>
        <w:spacing w:after="160" w:line="259" w:lineRule="auto"/>
        <w:ind w:left="1854" w:hanging="720"/>
        <w:contextualSpacing/>
        <w:rPr>
          <w:rFonts w:ascii="Arial" w:hAnsi="Arial" w:cs="Arial"/>
        </w:rPr>
      </w:pPr>
    </w:p>
    <w:p w14:paraId="134B4B2A" w14:textId="0EF4DB73" w:rsidR="00FE6CA7" w:rsidRDefault="00081E27" w:rsidP="00FE6CA7">
      <w:pPr>
        <w:pStyle w:val="ListParagraph"/>
        <w:numPr>
          <w:ilvl w:val="2"/>
          <w:numId w:val="14"/>
        </w:numPr>
        <w:spacing w:after="160" w:line="259" w:lineRule="auto"/>
        <w:ind w:left="1854" w:hanging="720"/>
        <w:contextualSpacing/>
        <w:rPr>
          <w:rFonts w:ascii="Arial" w:hAnsi="Arial" w:cs="Arial"/>
        </w:rPr>
      </w:pPr>
      <w:r w:rsidRPr="00FE6CA7">
        <w:rPr>
          <w:rFonts w:ascii="Arial" w:hAnsi="Arial" w:cs="Arial"/>
        </w:rPr>
        <w:t>The legal and policy framework for health and social care commissioning</w:t>
      </w:r>
      <w:r w:rsidR="00FE6CA7">
        <w:rPr>
          <w:rFonts w:ascii="Arial" w:hAnsi="Arial" w:cs="Arial"/>
        </w:rPr>
        <w:t>.</w:t>
      </w:r>
      <w:r w:rsidRPr="00FE6CA7">
        <w:rPr>
          <w:rFonts w:ascii="Arial" w:hAnsi="Arial" w:cs="Arial"/>
        </w:rPr>
        <w:t xml:space="preserve"> </w:t>
      </w:r>
    </w:p>
    <w:p w14:paraId="0ADF5727" w14:textId="77777777" w:rsidR="00FE6CA7" w:rsidRPr="00FE6CA7" w:rsidRDefault="00FE6CA7" w:rsidP="00FE6CA7">
      <w:pPr>
        <w:pStyle w:val="ListParagraph"/>
        <w:spacing w:after="160" w:line="259" w:lineRule="auto"/>
        <w:ind w:left="1854" w:hanging="720"/>
        <w:contextualSpacing/>
        <w:rPr>
          <w:rFonts w:ascii="Arial" w:hAnsi="Arial" w:cs="Arial"/>
        </w:rPr>
      </w:pPr>
    </w:p>
    <w:p w14:paraId="32B904FD" w14:textId="0A984752" w:rsidR="00FE6CA7" w:rsidRDefault="00081E27" w:rsidP="00FE6CA7">
      <w:pPr>
        <w:pStyle w:val="ListParagraph"/>
        <w:numPr>
          <w:ilvl w:val="2"/>
          <w:numId w:val="14"/>
        </w:numPr>
        <w:spacing w:after="160" w:line="259" w:lineRule="auto"/>
        <w:ind w:left="1854" w:hanging="720"/>
        <w:contextualSpacing/>
        <w:rPr>
          <w:rFonts w:ascii="Arial" w:hAnsi="Arial" w:cs="Arial"/>
        </w:rPr>
      </w:pPr>
      <w:r w:rsidRPr="00FE6CA7">
        <w:rPr>
          <w:rFonts w:ascii="Arial" w:hAnsi="Arial" w:cs="Arial"/>
        </w:rPr>
        <w:t>Existing good practice, such as Commissioning for Better Outcome</w:t>
      </w:r>
      <w:r w:rsidR="00FE6CA7">
        <w:rPr>
          <w:rFonts w:ascii="Arial" w:hAnsi="Arial" w:cs="Arial"/>
        </w:rPr>
        <w:t>.</w:t>
      </w:r>
    </w:p>
    <w:p w14:paraId="2ACEBEB9" w14:textId="77777777" w:rsidR="00FE6CA7" w:rsidRDefault="00FE6CA7" w:rsidP="00FE6CA7">
      <w:pPr>
        <w:pStyle w:val="ListParagraph"/>
        <w:spacing w:after="160" w:line="259" w:lineRule="auto"/>
        <w:ind w:left="1854" w:hanging="720"/>
        <w:contextualSpacing/>
        <w:rPr>
          <w:rFonts w:ascii="Arial" w:hAnsi="Arial" w:cs="Arial"/>
        </w:rPr>
      </w:pPr>
    </w:p>
    <w:p w14:paraId="6BD83A90" w14:textId="06F89C7E" w:rsidR="00FE6CA7" w:rsidRDefault="00081E27" w:rsidP="00FE6CA7">
      <w:pPr>
        <w:pStyle w:val="ListParagraph"/>
        <w:numPr>
          <w:ilvl w:val="2"/>
          <w:numId w:val="14"/>
        </w:numPr>
        <w:spacing w:after="160" w:line="259" w:lineRule="auto"/>
        <w:ind w:left="1854" w:hanging="720"/>
        <w:contextualSpacing/>
        <w:rPr>
          <w:rFonts w:ascii="Arial" w:hAnsi="Arial" w:cs="Arial"/>
        </w:rPr>
      </w:pPr>
      <w:r w:rsidRPr="00FE6CA7">
        <w:rPr>
          <w:rFonts w:ascii="Arial" w:hAnsi="Arial" w:cs="Arial"/>
        </w:rPr>
        <w:t>Cabinet office report and other reports on the future of health and adult social care</w:t>
      </w:r>
      <w:r w:rsidR="00FE6CA7">
        <w:rPr>
          <w:rFonts w:ascii="Arial" w:hAnsi="Arial" w:cs="Arial"/>
        </w:rPr>
        <w:t>.</w:t>
      </w:r>
    </w:p>
    <w:p w14:paraId="2BC9EBA6" w14:textId="77777777" w:rsidR="00FE6CA7" w:rsidRDefault="00FE6CA7" w:rsidP="00FE6CA7">
      <w:pPr>
        <w:pStyle w:val="ListParagraph"/>
        <w:spacing w:after="160" w:line="259" w:lineRule="auto"/>
        <w:ind w:left="1854" w:hanging="720"/>
        <w:contextualSpacing/>
        <w:rPr>
          <w:rFonts w:ascii="Arial" w:hAnsi="Arial" w:cs="Arial"/>
        </w:rPr>
      </w:pPr>
    </w:p>
    <w:p w14:paraId="7B0389C4" w14:textId="5485FE93" w:rsidR="00FE6CA7" w:rsidRDefault="00081E27" w:rsidP="00FE6CA7">
      <w:pPr>
        <w:pStyle w:val="ListParagraph"/>
        <w:numPr>
          <w:ilvl w:val="2"/>
          <w:numId w:val="14"/>
        </w:numPr>
        <w:spacing w:after="160" w:line="259" w:lineRule="auto"/>
        <w:ind w:left="1854" w:hanging="720"/>
        <w:contextualSpacing/>
        <w:rPr>
          <w:rFonts w:ascii="Arial" w:hAnsi="Arial" w:cs="Arial"/>
        </w:rPr>
      </w:pPr>
      <w:r w:rsidRPr="00FE6CA7">
        <w:rPr>
          <w:rFonts w:ascii="Arial" w:hAnsi="Arial" w:cs="Arial"/>
        </w:rPr>
        <w:t>Research and analysis by think tank and re</w:t>
      </w:r>
      <w:r w:rsidR="00FE6CA7">
        <w:rPr>
          <w:rFonts w:ascii="Arial" w:hAnsi="Arial" w:cs="Arial"/>
        </w:rPr>
        <w:t xml:space="preserve">search institutions, including </w:t>
      </w:r>
      <w:r w:rsidRPr="00FE6CA7">
        <w:rPr>
          <w:rFonts w:ascii="Arial" w:hAnsi="Arial" w:cs="Arial"/>
        </w:rPr>
        <w:t xml:space="preserve">the King’s Fund, </w:t>
      </w:r>
      <w:proofErr w:type="spellStart"/>
      <w:r w:rsidRPr="00FE6CA7">
        <w:rPr>
          <w:rFonts w:ascii="Arial" w:hAnsi="Arial" w:cs="Arial"/>
        </w:rPr>
        <w:t>Localis</w:t>
      </w:r>
      <w:proofErr w:type="spellEnd"/>
      <w:r w:rsidRPr="00FE6CA7">
        <w:rPr>
          <w:rFonts w:ascii="Arial" w:hAnsi="Arial" w:cs="Arial"/>
        </w:rPr>
        <w:t>, Reform and Nuffield Institute work</w:t>
      </w:r>
      <w:r w:rsidR="00FE6CA7">
        <w:rPr>
          <w:rFonts w:ascii="Arial" w:hAnsi="Arial" w:cs="Arial"/>
        </w:rPr>
        <w:t>.</w:t>
      </w:r>
      <w:r w:rsidRPr="00FE6CA7">
        <w:rPr>
          <w:rFonts w:ascii="Arial" w:hAnsi="Arial" w:cs="Arial"/>
        </w:rPr>
        <w:t xml:space="preserve"> </w:t>
      </w:r>
    </w:p>
    <w:p w14:paraId="2B20E422" w14:textId="77777777" w:rsidR="00FE6CA7" w:rsidRDefault="00FE6CA7" w:rsidP="00FE6CA7">
      <w:pPr>
        <w:pStyle w:val="ListParagraph"/>
        <w:spacing w:after="160" w:line="259" w:lineRule="auto"/>
        <w:ind w:left="1854" w:hanging="720"/>
        <w:contextualSpacing/>
        <w:rPr>
          <w:rFonts w:ascii="Arial" w:hAnsi="Arial" w:cs="Arial"/>
        </w:rPr>
      </w:pPr>
    </w:p>
    <w:p w14:paraId="56618477" w14:textId="3ABD6AA9" w:rsidR="00081E27" w:rsidRPr="00FE6CA7" w:rsidRDefault="00081E27" w:rsidP="00FE6CA7">
      <w:pPr>
        <w:pStyle w:val="ListParagraph"/>
        <w:numPr>
          <w:ilvl w:val="2"/>
          <w:numId w:val="14"/>
        </w:numPr>
        <w:spacing w:after="160" w:line="259" w:lineRule="auto"/>
        <w:ind w:left="1854" w:hanging="720"/>
        <w:contextualSpacing/>
        <w:rPr>
          <w:rFonts w:ascii="Arial" w:hAnsi="Arial" w:cs="Arial"/>
        </w:rPr>
      </w:pPr>
      <w:r w:rsidRPr="00FE6CA7">
        <w:rPr>
          <w:rFonts w:ascii="Arial" w:hAnsi="Arial" w:cs="Arial"/>
        </w:rPr>
        <w:t>Emerging good practice from STPs, New Models of Care Vanguards and Integration Pioneers on effective commissioning.</w:t>
      </w:r>
    </w:p>
    <w:p w14:paraId="0FB1B48F" w14:textId="77777777" w:rsidR="00FE6CA7" w:rsidRDefault="00FE6CA7" w:rsidP="00081E27">
      <w:pPr>
        <w:pStyle w:val="ListParagraph"/>
        <w:spacing w:before="120" w:after="160" w:line="259" w:lineRule="auto"/>
        <w:ind w:left="360"/>
        <w:contextualSpacing/>
        <w:rPr>
          <w:rFonts w:ascii="Arial" w:hAnsi="Arial" w:cs="Arial"/>
          <w:b/>
          <w:szCs w:val="22"/>
        </w:rPr>
      </w:pPr>
    </w:p>
    <w:p w14:paraId="6B0E7786" w14:textId="2F68794A" w:rsidR="00081E27" w:rsidRDefault="00B65076" w:rsidP="00081E27">
      <w:pPr>
        <w:pStyle w:val="ListParagraph"/>
        <w:spacing w:before="120" w:after="160" w:line="259" w:lineRule="auto"/>
        <w:ind w:left="360"/>
        <w:contextualSpacing/>
        <w:rPr>
          <w:rFonts w:ascii="Arial" w:hAnsi="Arial" w:cs="Arial"/>
          <w:b/>
          <w:szCs w:val="22"/>
        </w:rPr>
      </w:pPr>
      <w:r w:rsidRPr="00081E27">
        <w:rPr>
          <w:rFonts w:ascii="Arial" w:hAnsi="Arial" w:cs="Arial"/>
          <w:b/>
          <w:szCs w:val="22"/>
        </w:rPr>
        <w:t>Implications for Wales</w:t>
      </w:r>
    </w:p>
    <w:p w14:paraId="640846C8" w14:textId="77777777" w:rsidR="00081E27" w:rsidRPr="00081E27" w:rsidRDefault="00081E27" w:rsidP="00081E27">
      <w:pPr>
        <w:pStyle w:val="ListParagraph"/>
        <w:rPr>
          <w:rFonts w:ascii="Arial" w:hAnsi="Arial" w:cs="Arial"/>
        </w:rPr>
      </w:pPr>
    </w:p>
    <w:p w14:paraId="058661D4" w14:textId="70B2142E" w:rsidR="00081E27" w:rsidRPr="00081E27" w:rsidRDefault="009E437F" w:rsidP="00081E27">
      <w:pPr>
        <w:pStyle w:val="ListParagraph"/>
        <w:numPr>
          <w:ilvl w:val="0"/>
          <w:numId w:val="14"/>
        </w:numPr>
        <w:spacing w:before="120" w:after="200" w:line="276" w:lineRule="auto"/>
        <w:contextualSpacing/>
        <w:rPr>
          <w:rFonts w:ascii="Arial" w:eastAsiaTheme="minorHAnsi" w:hAnsi="Arial" w:cs="Arial"/>
          <w:szCs w:val="22"/>
          <w:lang w:eastAsia="en-US"/>
        </w:rPr>
      </w:pPr>
      <w:r>
        <w:rPr>
          <w:rFonts w:ascii="Arial" w:hAnsi="Arial" w:cs="Arial"/>
        </w:rPr>
        <w:t>Health and social care is a devolved responsibility.</w:t>
      </w:r>
    </w:p>
    <w:p w14:paraId="7DEBE350" w14:textId="77777777" w:rsidR="00081E27" w:rsidRDefault="00081E27" w:rsidP="00081E27">
      <w:pPr>
        <w:pStyle w:val="ListParagraph"/>
        <w:spacing w:before="120" w:after="200" w:line="276" w:lineRule="auto"/>
        <w:ind w:left="360"/>
        <w:contextualSpacing/>
        <w:rPr>
          <w:rFonts w:ascii="Arial" w:hAnsi="Arial" w:cs="Arial"/>
        </w:rPr>
      </w:pPr>
    </w:p>
    <w:p w14:paraId="558E8445" w14:textId="77777777" w:rsidR="009625F6" w:rsidRDefault="009625F6" w:rsidP="00081E27">
      <w:pPr>
        <w:pStyle w:val="ListParagraph"/>
        <w:spacing w:before="120" w:after="200" w:line="276" w:lineRule="auto"/>
        <w:ind w:left="360"/>
        <w:contextualSpacing/>
        <w:rPr>
          <w:rFonts w:ascii="Arial" w:hAnsi="Arial" w:cs="Arial"/>
        </w:rPr>
      </w:pPr>
    </w:p>
    <w:p w14:paraId="20ADB3A9" w14:textId="02306208" w:rsidR="00081E27" w:rsidRPr="00081E27" w:rsidRDefault="00081E27" w:rsidP="00081E27">
      <w:pPr>
        <w:pStyle w:val="ListParagraph"/>
        <w:spacing w:before="120" w:after="200" w:line="276" w:lineRule="auto"/>
        <w:ind w:left="360"/>
        <w:contextualSpacing/>
        <w:rPr>
          <w:rFonts w:ascii="Arial" w:hAnsi="Arial" w:cs="Arial"/>
          <w:b/>
        </w:rPr>
      </w:pPr>
      <w:r w:rsidRPr="00081E27">
        <w:rPr>
          <w:rFonts w:ascii="Arial" w:hAnsi="Arial" w:cs="Arial"/>
          <w:b/>
        </w:rPr>
        <w:lastRenderedPageBreak/>
        <w:t>Financial Implications</w:t>
      </w:r>
    </w:p>
    <w:p w14:paraId="152D706D" w14:textId="77777777" w:rsidR="00081E27" w:rsidRPr="00081E27" w:rsidRDefault="00081E27" w:rsidP="00081E27">
      <w:pPr>
        <w:pStyle w:val="ListParagraph"/>
        <w:spacing w:before="120" w:after="200" w:line="276" w:lineRule="auto"/>
        <w:ind w:left="360"/>
        <w:contextualSpacing/>
        <w:rPr>
          <w:rFonts w:ascii="Arial" w:hAnsi="Arial" w:cs="Arial"/>
        </w:rPr>
      </w:pPr>
    </w:p>
    <w:p w14:paraId="7E1F6E2E" w14:textId="0F63ACE1" w:rsidR="00421D38" w:rsidRPr="00081E27" w:rsidRDefault="00081E27" w:rsidP="00081E27">
      <w:pPr>
        <w:pStyle w:val="ListParagraph"/>
        <w:numPr>
          <w:ilvl w:val="0"/>
          <w:numId w:val="14"/>
        </w:numPr>
        <w:spacing w:before="120" w:after="200" w:line="276" w:lineRule="auto"/>
        <w:contextualSpacing/>
        <w:rPr>
          <w:rFonts w:ascii="Arial" w:eastAsiaTheme="minorHAnsi" w:hAnsi="Arial" w:cs="Arial"/>
          <w:szCs w:val="22"/>
          <w:lang w:eastAsia="en-US"/>
        </w:rPr>
      </w:pPr>
      <w:r w:rsidRPr="00081E27">
        <w:rPr>
          <w:rFonts w:ascii="Arial" w:eastAsiaTheme="minorHAnsi" w:hAnsi="Arial" w:cs="Arial"/>
          <w:szCs w:val="22"/>
          <w:lang w:eastAsia="en-US"/>
        </w:rPr>
        <w:t>None.</w:t>
      </w:r>
    </w:p>
    <w:p w14:paraId="321C7512" w14:textId="57643B60" w:rsidR="00421D38" w:rsidRDefault="00511ABD" w:rsidP="00466C55">
      <w:pPr>
        <w:spacing w:after="160" w:line="259" w:lineRule="auto"/>
        <w:ind w:firstLine="360"/>
        <w:rPr>
          <w:rFonts w:ascii="Arial" w:eastAsiaTheme="minorHAnsi" w:hAnsi="Arial" w:cs="Arial"/>
          <w:b/>
          <w:szCs w:val="22"/>
          <w:lang w:eastAsia="en-US"/>
        </w:rPr>
      </w:pPr>
      <w:r w:rsidRPr="00466C55">
        <w:rPr>
          <w:rFonts w:ascii="Arial" w:eastAsiaTheme="minorHAnsi" w:hAnsi="Arial" w:cs="Arial"/>
          <w:b/>
          <w:szCs w:val="22"/>
          <w:lang w:eastAsia="en-US"/>
        </w:rPr>
        <w:t>Next Steps</w:t>
      </w:r>
    </w:p>
    <w:p w14:paraId="169B06DC" w14:textId="487CE371" w:rsidR="009B5484" w:rsidRPr="00D70F93" w:rsidRDefault="009B5484" w:rsidP="009B5484">
      <w:pPr>
        <w:pStyle w:val="MainText"/>
        <w:numPr>
          <w:ilvl w:val="0"/>
          <w:numId w:val="14"/>
        </w:numPr>
        <w:spacing w:line="240" w:lineRule="auto"/>
        <w:rPr>
          <w:rFonts w:ascii="Arial" w:hAnsi="Arial" w:cs="Arial"/>
          <w:szCs w:val="22"/>
        </w:rPr>
      </w:pPr>
      <w:r>
        <w:rPr>
          <w:rFonts w:ascii="Arial" w:hAnsi="Arial" w:cs="Arial"/>
          <w:szCs w:val="22"/>
        </w:rPr>
        <w:t xml:space="preserve">Members are requested to discuss and comment on the outlined proposals in </w:t>
      </w:r>
      <w:r w:rsidRPr="009B5484">
        <w:rPr>
          <w:rFonts w:ascii="Arial" w:hAnsi="Arial" w:cs="Arial"/>
          <w:b/>
          <w:szCs w:val="22"/>
        </w:rPr>
        <w:t>section 7</w:t>
      </w:r>
      <w:r>
        <w:rPr>
          <w:rFonts w:ascii="Arial" w:hAnsi="Arial" w:cs="Arial"/>
          <w:szCs w:val="22"/>
        </w:rPr>
        <w:t xml:space="preserve"> of the report.</w:t>
      </w:r>
    </w:p>
    <w:p w14:paraId="3E8322B1" w14:textId="421AE38B" w:rsidR="00B23DA6" w:rsidRPr="00891AE9" w:rsidRDefault="00B23DA6" w:rsidP="00466C55">
      <w:pPr>
        <w:pStyle w:val="ListParagraph"/>
        <w:spacing w:after="160" w:line="259" w:lineRule="auto"/>
        <w:rPr>
          <w:rFonts w:ascii="Arial" w:hAnsi="Arial" w:cs="Arial"/>
        </w:rPr>
      </w:pPr>
    </w:p>
    <w:sectPr w:rsidR="00B23DA6" w:rsidRPr="00891A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2664A9" w:rsidRDefault="002664A9">
      <w:r>
        <w:separator/>
      </w:r>
    </w:p>
  </w:endnote>
  <w:endnote w:type="continuationSeparator" w:id="0">
    <w:p w14:paraId="3E8322B5" w14:textId="77777777" w:rsidR="002664A9" w:rsidRDefault="0026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2664A9" w:rsidRDefault="002664A9">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2664A9" w:rsidRDefault="002664A9">
      <w:r>
        <w:separator/>
      </w:r>
    </w:p>
  </w:footnote>
  <w:footnote w:type="continuationSeparator" w:id="0">
    <w:p w14:paraId="3E8322B3" w14:textId="77777777" w:rsidR="002664A9" w:rsidRDefault="00266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BF" w14:textId="77777777" w:rsidR="002664A9" w:rsidRDefault="002664A9">
    <w:pPr>
      <w:pStyle w:val="Header"/>
      <w:rPr>
        <w:rFonts w:ascii="Arial" w:hAnsi="Arial" w:cs="Arial"/>
      </w:rPr>
    </w:pPr>
  </w:p>
  <w:tbl>
    <w:tblPr>
      <w:tblW w:w="0" w:type="auto"/>
      <w:tblLook w:val="01E0" w:firstRow="1" w:lastRow="1" w:firstColumn="1" w:lastColumn="1" w:noHBand="0" w:noVBand="0"/>
    </w:tblPr>
    <w:tblGrid>
      <w:gridCol w:w="5665"/>
      <w:gridCol w:w="3396"/>
    </w:tblGrid>
    <w:tr w:rsidR="002664A9" w14:paraId="7D4F3CEB" w14:textId="77777777" w:rsidTr="0040181A">
      <w:trPr>
        <w:trHeight w:val="279"/>
      </w:trPr>
      <w:tc>
        <w:tcPr>
          <w:tcW w:w="5665" w:type="dxa"/>
          <w:vMerge w:val="restart"/>
          <w:hideMark/>
        </w:tcPr>
        <w:p w14:paraId="2B1C0649" w14:textId="7760F264" w:rsidR="002664A9" w:rsidRDefault="002664A9" w:rsidP="0040181A">
          <w:pPr>
            <w:pStyle w:val="Header"/>
            <w:tabs>
              <w:tab w:val="center" w:pos="2923"/>
            </w:tabs>
            <w:rPr>
              <w:rFonts w:ascii="Arial" w:hAnsi="Arial" w:cs="Arial"/>
              <w:noProof/>
              <w:sz w:val="44"/>
              <w:szCs w:val="44"/>
            </w:rPr>
          </w:pPr>
          <w:r>
            <w:rPr>
              <w:rFonts w:ascii="Arial" w:hAnsi="Arial" w:cs="Arial"/>
              <w:noProof/>
              <w:sz w:val="44"/>
              <w:szCs w:val="44"/>
            </w:rPr>
            <w:drawing>
              <wp:inline distT="0" distB="0" distL="0" distR="0" wp14:anchorId="067E01E9" wp14:editId="4749DAF0">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396" w:type="dxa"/>
          <w:vAlign w:val="center"/>
        </w:tcPr>
        <w:p w14:paraId="6D29F2A9" w14:textId="77777777" w:rsidR="002664A9" w:rsidRDefault="002664A9" w:rsidP="0040181A">
          <w:pPr>
            <w:pStyle w:val="Header"/>
            <w:rPr>
              <w:rFonts w:ascii="Arial" w:eastAsia="Arial" w:hAnsi="Arial" w:cs="Arial"/>
              <w:b/>
              <w:bCs/>
            </w:rPr>
          </w:pPr>
        </w:p>
      </w:tc>
    </w:tr>
    <w:tr w:rsidR="002664A9" w14:paraId="60D4D96A" w14:textId="77777777" w:rsidTr="0040181A">
      <w:trPr>
        <w:trHeight w:val="723"/>
      </w:trPr>
      <w:tc>
        <w:tcPr>
          <w:tcW w:w="0" w:type="auto"/>
          <w:vMerge/>
          <w:vAlign w:val="center"/>
          <w:hideMark/>
        </w:tcPr>
        <w:p w14:paraId="63E10991" w14:textId="77777777" w:rsidR="002664A9" w:rsidRDefault="002664A9" w:rsidP="0040181A">
          <w:pPr>
            <w:rPr>
              <w:rFonts w:ascii="Arial" w:hAnsi="Arial" w:cs="Arial"/>
              <w:noProof/>
              <w:sz w:val="44"/>
              <w:szCs w:val="44"/>
            </w:rPr>
          </w:pPr>
        </w:p>
      </w:tc>
      <w:tc>
        <w:tcPr>
          <w:tcW w:w="3396" w:type="dxa"/>
          <w:vAlign w:val="center"/>
          <w:hideMark/>
        </w:tcPr>
        <w:p w14:paraId="4B38E5CD" w14:textId="77777777" w:rsidR="002664A9" w:rsidRDefault="002664A9" w:rsidP="0040181A">
          <w:pPr>
            <w:pStyle w:val="Header"/>
            <w:rPr>
              <w:rFonts w:ascii="Arial" w:eastAsia="Arial" w:hAnsi="Arial" w:cs="Arial"/>
              <w:b/>
              <w:bCs/>
              <w:i/>
              <w:iCs/>
            </w:rPr>
          </w:pPr>
          <w:r>
            <w:rPr>
              <w:rFonts w:ascii="Arial" w:eastAsia="Arial" w:hAnsi="Arial" w:cs="Arial"/>
              <w:b/>
              <w:bCs/>
            </w:rPr>
            <w:t>Community Wellbeing Board</w:t>
          </w:r>
        </w:p>
      </w:tc>
    </w:tr>
    <w:tr w:rsidR="002664A9" w14:paraId="7ACBF7FA" w14:textId="77777777" w:rsidTr="0040181A">
      <w:trPr>
        <w:trHeight w:val="85"/>
      </w:trPr>
      <w:tc>
        <w:tcPr>
          <w:tcW w:w="0" w:type="auto"/>
          <w:vMerge/>
          <w:vAlign w:val="center"/>
          <w:hideMark/>
        </w:tcPr>
        <w:p w14:paraId="60A59F95" w14:textId="77777777" w:rsidR="002664A9" w:rsidRDefault="002664A9" w:rsidP="0040181A">
          <w:pPr>
            <w:rPr>
              <w:rFonts w:ascii="Arial" w:hAnsi="Arial" w:cs="Arial"/>
              <w:noProof/>
              <w:sz w:val="44"/>
              <w:szCs w:val="44"/>
            </w:rPr>
          </w:pPr>
        </w:p>
      </w:tc>
      <w:tc>
        <w:tcPr>
          <w:tcW w:w="3396" w:type="dxa"/>
          <w:vAlign w:val="center"/>
          <w:hideMark/>
        </w:tcPr>
        <w:p w14:paraId="4CE7FC6E" w14:textId="77777777" w:rsidR="002664A9" w:rsidRDefault="002664A9" w:rsidP="0040181A">
          <w:pPr>
            <w:pStyle w:val="Header"/>
            <w:spacing w:before="60"/>
            <w:rPr>
              <w:rFonts w:ascii="Arial" w:eastAsia="Arial" w:hAnsi="Arial" w:cs="Arial"/>
            </w:rPr>
          </w:pPr>
          <w:r>
            <w:rPr>
              <w:rFonts w:ascii="Arial" w:eastAsia="Arial" w:hAnsi="Arial" w:cs="Arial"/>
            </w:rPr>
            <w:t>27 April 2017</w:t>
          </w:r>
        </w:p>
      </w:tc>
    </w:tr>
  </w:tbl>
  <w:p w14:paraId="7CE9669E" w14:textId="77777777" w:rsidR="002664A9" w:rsidRPr="0021114E" w:rsidRDefault="002664A9">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2664A9" w:rsidRDefault="002664A9" w:rsidP="008F3C9D">
    <w:pPr>
      <w:pStyle w:val="Header"/>
      <w:rPr>
        <w:sz w:val="2"/>
      </w:rPr>
    </w:pPr>
  </w:p>
  <w:p w14:paraId="3E8322C2" w14:textId="77777777" w:rsidR="002664A9" w:rsidRDefault="002664A9" w:rsidP="008F3C9D">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2664A9" w:rsidRPr="001D2C76" w14:paraId="3E8322C5" w14:textId="77777777" w:rsidTr="008F3C9D">
      <w:tc>
        <w:tcPr>
          <w:tcW w:w="6062" w:type="dxa"/>
          <w:vMerge w:val="restart"/>
        </w:tcPr>
        <w:p w14:paraId="3E8322C3" w14:textId="77777777" w:rsidR="002664A9" w:rsidRDefault="002664A9" w:rsidP="008F3C9D">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2664A9" w:rsidRPr="001D2C76" w:rsidRDefault="002664A9" w:rsidP="008F3C9D">
          <w:pPr>
            <w:pStyle w:val="Header"/>
            <w:rPr>
              <w:b/>
            </w:rPr>
          </w:pPr>
          <w:r>
            <w:rPr>
              <w:rFonts w:ascii="Arial" w:hAnsi="Arial" w:cs="Arial"/>
              <w:b/>
              <w:sz w:val="24"/>
              <w:szCs w:val="24"/>
            </w:rPr>
            <w:t>Meeting title</w:t>
          </w:r>
        </w:p>
      </w:tc>
    </w:tr>
    <w:tr w:rsidR="002664A9" w14:paraId="3E8322C8" w14:textId="77777777" w:rsidTr="008F3C9D">
      <w:trPr>
        <w:trHeight w:val="450"/>
      </w:trPr>
      <w:tc>
        <w:tcPr>
          <w:tcW w:w="6062" w:type="dxa"/>
          <w:vMerge/>
        </w:tcPr>
        <w:p w14:paraId="3E8322C6" w14:textId="77777777" w:rsidR="002664A9" w:rsidRDefault="002664A9" w:rsidP="008F3C9D">
          <w:pPr>
            <w:pStyle w:val="Header"/>
          </w:pPr>
        </w:p>
      </w:tc>
      <w:tc>
        <w:tcPr>
          <w:tcW w:w="3225" w:type="dxa"/>
        </w:tcPr>
        <w:p w14:paraId="3E8322C7" w14:textId="77777777" w:rsidR="002664A9" w:rsidRDefault="002664A9" w:rsidP="008F3C9D">
          <w:pPr>
            <w:pStyle w:val="Header"/>
            <w:spacing w:before="60"/>
          </w:pPr>
          <w:r>
            <w:rPr>
              <w:rFonts w:ascii="Arial" w:hAnsi="Arial" w:cs="Arial"/>
              <w:sz w:val="24"/>
              <w:szCs w:val="24"/>
            </w:rPr>
            <w:t xml:space="preserve">Meeting date </w:t>
          </w:r>
        </w:p>
      </w:tc>
    </w:tr>
    <w:tr w:rsidR="002664A9" w14:paraId="3E8322CC" w14:textId="77777777" w:rsidTr="008F3C9D">
      <w:trPr>
        <w:trHeight w:val="450"/>
      </w:trPr>
      <w:tc>
        <w:tcPr>
          <w:tcW w:w="6062" w:type="dxa"/>
          <w:vMerge/>
        </w:tcPr>
        <w:p w14:paraId="3E8322C9" w14:textId="77777777" w:rsidR="002664A9" w:rsidRDefault="002664A9" w:rsidP="008F3C9D">
          <w:pPr>
            <w:pStyle w:val="Header"/>
          </w:pPr>
        </w:p>
      </w:tc>
      <w:tc>
        <w:tcPr>
          <w:tcW w:w="3225" w:type="dxa"/>
        </w:tcPr>
        <w:p w14:paraId="3E8322CA" w14:textId="77777777" w:rsidR="002664A9" w:rsidRDefault="002664A9" w:rsidP="008F3C9D">
          <w:pPr>
            <w:pStyle w:val="Header"/>
            <w:spacing w:before="60"/>
            <w:rPr>
              <w:rFonts w:ascii="Arial" w:hAnsi="Arial" w:cs="Arial"/>
              <w:b/>
              <w:sz w:val="24"/>
              <w:szCs w:val="24"/>
            </w:rPr>
          </w:pPr>
        </w:p>
        <w:p w14:paraId="3E8322CB" w14:textId="77777777" w:rsidR="002664A9" w:rsidRPr="00546D0D" w:rsidRDefault="002664A9" w:rsidP="008F3C9D">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2664A9" w:rsidRDefault="002664A9" w:rsidP="008F3C9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7CEA"/>
    <w:multiLevelType w:val="hybridMultilevel"/>
    <w:tmpl w:val="E4FAC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852F2A"/>
    <w:multiLevelType w:val="hybridMultilevel"/>
    <w:tmpl w:val="70AA9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7A1C46"/>
    <w:multiLevelType w:val="hybridMultilevel"/>
    <w:tmpl w:val="A64E9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D0D6C"/>
    <w:multiLevelType w:val="multilevel"/>
    <w:tmpl w:val="1F52D06A"/>
    <w:lvl w:ilvl="0">
      <w:start w:val="1"/>
      <w:numFmt w:val="decimal"/>
      <w:lvlText w:val="%1."/>
      <w:lvlJc w:val="left"/>
      <w:pPr>
        <w:ind w:left="360" w:hanging="360"/>
      </w:pPr>
      <w:rPr>
        <w:b w:val="0"/>
      </w:rPr>
    </w:lvl>
    <w:lvl w:ilvl="1">
      <w:start w:val="1"/>
      <w:numFmt w:val="decimal"/>
      <w:lvlText w:val="%1.%2."/>
      <w:lvlJc w:val="left"/>
      <w:pPr>
        <w:ind w:left="716" w:hanging="432"/>
      </w:pPr>
      <w:rPr>
        <w:b w:val="0"/>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A2610A"/>
    <w:multiLevelType w:val="multilevel"/>
    <w:tmpl w:val="2C4A87F4"/>
    <w:lvl w:ilvl="0">
      <w:start w:val="1"/>
      <w:numFmt w:val="decimal"/>
      <w:lvlText w:val="%1."/>
      <w:lvlJc w:val="left"/>
      <w:pPr>
        <w:ind w:left="720" w:hanging="360"/>
      </w:pPr>
      <w:rPr>
        <w:b w:val="0"/>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520" w:hanging="1080"/>
      </w:pPr>
      <w:rPr>
        <w:rFonts w:hint="default"/>
        <w:sz w:val="24"/>
        <w:szCs w:val="24"/>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600" w:hanging="144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680" w:hanging="1800"/>
      </w:pPr>
      <w:rPr>
        <w:rFonts w:hint="default"/>
        <w:sz w:val="22"/>
      </w:rPr>
    </w:lvl>
    <w:lvl w:ilvl="8">
      <w:start w:val="1"/>
      <w:numFmt w:val="decimal"/>
      <w:isLgl/>
      <w:lvlText w:val="%1.%2.%3.%4.%5.%6.%7.%8.%9"/>
      <w:lvlJc w:val="left"/>
      <w:pPr>
        <w:ind w:left="5040" w:hanging="1800"/>
      </w:pPr>
      <w:rPr>
        <w:rFonts w:hint="default"/>
        <w:sz w:val="22"/>
      </w:rPr>
    </w:lvl>
  </w:abstractNum>
  <w:abstractNum w:abstractNumId="5" w15:restartNumberingAfterBreak="0">
    <w:nsid w:val="311F3CF5"/>
    <w:multiLevelType w:val="hybridMultilevel"/>
    <w:tmpl w:val="990E3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A652C1"/>
    <w:multiLevelType w:val="hybridMultilevel"/>
    <w:tmpl w:val="00843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537483"/>
    <w:multiLevelType w:val="multilevel"/>
    <w:tmpl w:val="B14EA5F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537E84"/>
    <w:multiLevelType w:val="hybridMultilevel"/>
    <w:tmpl w:val="DE5C1DB2"/>
    <w:lvl w:ilvl="0" w:tplc="08090001">
      <w:start w:val="1"/>
      <w:numFmt w:val="bullet"/>
      <w:lvlText w:val=""/>
      <w:lvlJc w:val="left"/>
      <w:pPr>
        <w:ind w:left="742" w:hanging="360"/>
      </w:pPr>
      <w:rPr>
        <w:rFonts w:ascii="Symbol" w:hAnsi="Symbol"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0" w15:restartNumberingAfterBreak="0">
    <w:nsid w:val="4A4913BD"/>
    <w:multiLevelType w:val="hybridMultilevel"/>
    <w:tmpl w:val="FC726AC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54F348F1"/>
    <w:multiLevelType w:val="hybridMultilevel"/>
    <w:tmpl w:val="998E5B74"/>
    <w:lvl w:ilvl="0" w:tplc="D6A4DE12">
      <w:start w:val="1"/>
      <w:numFmt w:val="decimal"/>
      <w:lvlText w:val="%1."/>
      <w:lvlJc w:val="left"/>
      <w:pPr>
        <w:ind w:left="720" w:hanging="360"/>
      </w:pPr>
      <w:rPr>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032A27"/>
    <w:multiLevelType w:val="multilevel"/>
    <w:tmpl w:val="9EC44780"/>
    <w:lvl w:ilvl="0">
      <w:start w:val="1"/>
      <w:numFmt w:val="decimal"/>
      <w:lvlText w:val="%1."/>
      <w:lvlJc w:val="left"/>
      <w:pPr>
        <w:ind w:left="360" w:hanging="360"/>
      </w:pPr>
      <w:rPr>
        <w:b w:val="0"/>
      </w:rPr>
    </w:lvl>
    <w:lvl w:ilvl="1">
      <w:start w:val="1"/>
      <w:numFmt w:val="decimal"/>
      <w:lvlText w:val="%1.%2."/>
      <w:lvlJc w:val="left"/>
      <w:pPr>
        <w:ind w:left="574" w:hanging="432"/>
      </w:pPr>
      <w:rPr>
        <w:b w:val="0"/>
      </w:rPr>
    </w:lvl>
    <w:lvl w:ilvl="2">
      <w:start w:val="1"/>
      <w:numFmt w:val="decimal"/>
      <w:lvlText w:val="%1.%2.%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BF2661"/>
    <w:multiLevelType w:val="hybridMultilevel"/>
    <w:tmpl w:val="B14EA5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AD124C"/>
    <w:multiLevelType w:val="multilevel"/>
    <w:tmpl w:val="1E26D96A"/>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E0B5870"/>
    <w:multiLevelType w:val="hybridMultilevel"/>
    <w:tmpl w:val="20B4F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7A58E7"/>
    <w:multiLevelType w:val="hybridMultilevel"/>
    <w:tmpl w:val="A85E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7"/>
  </w:num>
  <w:num w:numId="4">
    <w:abstractNumId w:val="4"/>
  </w:num>
  <w:num w:numId="5">
    <w:abstractNumId w:val="11"/>
  </w:num>
  <w:num w:numId="6">
    <w:abstractNumId w:val="9"/>
  </w:num>
  <w:num w:numId="7">
    <w:abstractNumId w:val="10"/>
  </w:num>
  <w:num w:numId="8">
    <w:abstractNumId w:val="2"/>
  </w:num>
  <w:num w:numId="9">
    <w:abstractNumId w:val="6"/>
  </w:num>
  <w:num w:numId="10">
    <w:abstractNumId w:val="0"/>
  </w:num>
  <w:num w:numId="11">
    <w:abstractNumId w:val="16"/>
  </w:num>
  <w:num w:numId="12">
    <w:abstractNumId w:val="5"/>
  </w:num>
  <w:num w:numId="13">
    <w:abstractNumId w:val="13"/>
  </w:num>
  <w:num w:numId="14">
    <w:abstractNumId w:val="12"/>
  </w:num>
  <w:num w:numId="15">
    <w:abstractNumId w:val="7"/>
  </w:num>
  <w:num w:numId="16">
    <w:abstractNumId w:val="14"/>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81E27"/>
    <w:rsid w:val="001000D4"/>
    <w:rsid w:val="00105469"/>
    <w:rsid w:val="00110533"/>
    <w:rsid w:val="00122698"/>
    <w:rsid w:val="001B36CE"/>
    <w:rsid w:val="00206822"/>
    <w:rsid w:val="00216626"/>
    <w:rsid w:val="00243DF2"/>
    <w:rsid w:val="002634A5"/>
    <w:rsid w:val="002664A9"/>
    <w:rsid w:val="002C2994"/>
    <w:rsid w:val="002F64C4"/>
    <w:rsid w:val="0040181A"/>
    <w:rsid w:val="00421D38"/>
    <w:rsid w:val="00466C55"/>
    <w:rsid w:val="004A0786"/>
    <w:rsid w:val="00511ABD"/>
    <w:rsid w:val="005808CB"/>
    <w:rsid w:val="00612E8B"/>
    <w:rsid w:val="00820FF5"/>
    <w:rsid w:val="00841D53"/>
    <w:rsid w:val="008460B1"/>
    <w:rsid w:val="00891AE9"/>
    <w:rsid w:val="008F3C9D"/>
    <w:rsid w:val="00923795"/>
    <w:rsid w:val="009625F6"/>
    <w:rsid w:val="0097344A"/>
    <w:rsid w:val="00977D52"/>
    <w:rsid w:val="00992E96"/>
    <w:rsid w:val="009B5484"/>
    <w:rsid w:val="009E437F"/>
    <w:rsid w:val="00A055A8"/>
    <w:rsid w:val="00A10837"/>
    <w:rsid w:val="00AB59E8"/>
    <w:rsid w:val="00B14E17"/>
    <w:rsid w:val="00B23DA6"/>
    <w:rsid w:val="00B27F61"/>
    <w:rsid w:val="00B65076"/>
    <w:rsid w:val="00C03562"/>
    <w:rsid w:val="00CF0E3B"/>
    <w:rsid w:val="00D45B4D"/>
    <w:rsid w:val="00D510B1"/>
    <w:rsid w:val="00D70F93"/>
    <w:rsid w:val="00DF09AF"/>
    <w:rsid w:val="00E1448D"/>
    <w:rsid w:val="00E509F2"/>
    <w:rsid w:val="00E53865"/>
    <w:rsid w:val="00EA6CCB"/>
    <w:rsid w:val="00ED60BA"/>
    <w:rsid w:val="00EF4D19"/>
    <w:rsid w:val="00F145E2"/>
    <w:rsid w:val="00F310D9"/>
    <w:rsid w:val="00F82574"/>
    <w:rsid w:val="00FE6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uiPriority w:val="39"/>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paragraph" w:customStyle="1" w:styleId="Default">
    <w:name w:val="Default"/>
    <w:rsid w:val="008F3C9D"/>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styleId="BalloonText">
    <w:name w:val="Balloon Text"/>
    <w:basedOn w:val="Normal"/>
    <w:link w:val="BalloonTextChar"/>
    <w:uiPriority w:val="99"/>
    <w:semiHidden/>
    <w:unhideWhenUsed/>
    <w:rsid w:val="00B650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076"/>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D510B1"/>
    <w:rPr>
      <w:sz w:val="16"/>
      <w:szCs w:val="16"/>
    </w:rPr>
  </w:style>
  <w:style w:type="paragraph" w:styleId="CommentText">
    <w:name w:val="annotation text"/>
    <w:basedOn w:val="Normal"/>
    <w:link w:val="CommentTextChar"/>
    <w:uiPriority w:val="99"/>
    <w:semiHidden/>
    <w:unhideWhenUsed/>
    <w:rsid w:val="00D510B1"/>
    <w:rPr>
      <w:sz w:val="20"/>
    </w:rPr>
  </w:style>
  <w:style w:type="character" w:customStyle="1" w:styleId="CommentTextChar">
    <w:name w:val="Comment Text Char"/>
    <w:basedOn w:val="DefaultParagraphFont"/>
    <w:link w:val="CommentText"/>
    <w:uiPriority w:val="99"/>
    <w:semiHidden/>
    <w:rsid w:val="00D510B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510B1"/>
    <w:rPr>
      <w:b/>
      <w:bCs/>
    </w:rPr>
  </w:style>
  <w:style w:type="character" w:customStyle="1" w:styleId="CommentSubjectChar">
    <w:name w:val="Comment Subject Char"/>
    <w:basedOn w:val="CommentTextChar"/>
    <w:link w:val="CommentSubject"/>
    <w:uiPriority w:val="99"/>
    <w:semiHidden/>
    <w:rsid w:val="00D510B1"/>
    <w:rPr>
      <w:rFonts w:ascii="Frutiger 45 Light" w:eastAsia="Times New Roman" w:hAnsi="Frutiger 45 Light" w:cs="Times New Roman"/>
      <w:b/>
      <w:bCs/>
      <w:sz w:val="20"/>
      <w:szCs w:val="20"/>
      <w:lang w:eastAsia="en-GB"/>
    </w:rPr>
  </w:style>
  <w:style w:type="character" w:customStyle="1" w:styleId="s12">
    <w:name w:val="s12"/>
    <w:basedOn w:val="DefaultParagraphFont"/>
    <w:rsid w:val="00466C55"/>
  </w:style>
  <w:style w:type="character" w:styleId="Emphasis">
    <w:name w:val="Emphasis"/>
    <w:basedOn w:val="DefaultParagraphFont"/>
    <w:uiPriority w:val="20"/>
    <w:qFormat/>
    <w:rsid w:val="009B548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8825">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yson.morley@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2DEBF99B360B4A91AAE37C2BC41E3B" ma:contentTypeVersion="4" ma:contentTypeDescription="Create a new document." ma:contentTypeScope="" ma:versionID="e760f2f6219ca9beb13be74d7c6f0005">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52ACF0CD-4DD4-4E47-AB3D-8D8587C42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1D8DA-7CA7-4C05-8745-3E5D2C3B891A}">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1c8a0e75-f4bc-4eb4-8ed0-578eaea9e1ca"/>
    <ds:schemaRef ds:uri="c8febe6a-14d9-43ab-83c3-c48f478fa47c"/>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4C36B0C-E160-4E5C-82BF-83863A4A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E6606AC6</Template>
  <TotalTime>59</TotalTime>
  <Pages>6</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Alexander Saul</cp:lastModifiedBy>
  <cp:revision>6</cp:revision>
  <dcterms:created xsi:type="dcterms:W3CDTF">2017-04-07T11:04:00Z</dcterms:created>
  <dcterms:modified xsi:type="dcterms:W3CDTF">2017-04-20T10:21:00Z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0x010100FD2DEBF99B360B4A91AAE37C2BC41E3B</vt:lpwstr>
  </property>
  <property fmtid="{D5CDD505-2E9C-101B-9397-08002B2CF9AE}" pid="3" name="LGA Template">
    <vt:lpwstr>Template</vt:lpwstr>
  </property>
</Properties>
</file>